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A0260D">
        <w:rPr>
          <w:rFonts w:ascii="Tahoma" w:hAnsi="Tahoma" w:cs="Tahoma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6A4969" wp14:editId="2A8EEDF4">
                <wp:simplePos x="0" y="0"/>
                <wp:positionH relativeFrom="page">
                  <wp:posOffset>409575</wp:posOffset>
                </wp:positionH>
                <wp:positionV relativeFrom="page">
                  <wp:posOffset>-240030</wp:posOffset>
                </wp:positionV>
                <wp:extent cx="90805" cy="10546715"/>
                <wp:effectExtent l="0" t="0" r="234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-18.9pt;width:7.15pt;height:830.4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" o:allowincell="f" strokecolor="#4f81bd">
                <w10:wrap anchorx="page" anchory="page"/>
              </v:rect>
            </w:pict>
          </mc:Fallback>
        </mc:AlternateContent>
      </w:r>
      <w:r w:rsidRPr="00A0260D">
        <w:rPr>
          <w:rFonts w:ascii="Tahoma" w:hAnsi="Tahoma" w:cs="Tahoma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4B74F2" wp14:editId="11D23073">
                <wp:simplePos x="0" y="0"/>
                <wp:positionH relativeFrom="page">
                  <wp:posOffset>7267575</wp:posOffset>
                </wp:positionH>
                <wp:positionV relativeFrom="page">
                  <wp:posOffset>-240030</wp:posOffset>
                </wp:positionV>
                <wp:extent cx="90805" cy="10546715"/>
                <wp:effectExtent l="0" t="0" r="234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" o:spid="_x0000_s1026" style="position:absolute;margin-left:572.25pt;margin-top:-18.9pt;width:7.15pt;height:830.45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" o:allowincell="f" strokecolor="#4f81bd">
                <w10:wrap anchorx="page" anchory="page"/>
              </v:rect>
            </w:pict>
          </mc:Fallback>
        </mc:AlternateContent>
      </w:r>
      <w:r w:rsidRPr="00A0260D">
        <w:rPr>
          <w:rFonts w:ascii="Tahoma" w:hAnsi="Tahoma" w:cs="Tahoma"/>
          <w:sz w:val="36"/>
          <w:szCs w:val="36"/>
        </w:rPr>
        <w:t>SECURITIES AND EXCHANGE COMMISSION, GHANA</w:t>
      </w: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A0260D">
        <w:rPr>
          <w:rFonts w:ascii="Tahoma" w:hAnsi="Tahoma" w:cs="Tahoma"/>
          <w:sz w:val="36"/>
          <w:szCs w:val="36"/>
        </w:rPr>
        <w:t>AND</w:t>
      </w: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A0260D">
        <w:rPr>
          <w:rFonts w:ascii="Tahoma" w:hAnsi="Tahoma" w:cs="Tahoma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DED88" wp14:editId="7AEE4E06">
                <wp:simplePos x="0" y="0"/>
                <wp:positionH relativeFrom="column">
                  <wp:posOffset>1068705</wp:posOffset>
                </wp:positionH>
                <wp:positionV relativeFrom="paragraph">
                  <wp:posOffset>330835</wp:posOffset>
                </wp:positionV>
                <wp:extent cx="4219575" cy="45085"/>
                <wp:effectExtent l="19050" t="19050" r="2857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1957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.15pt;margin-top:26.05pt;width:332.2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" fillcolor="black" strokeweight="3pt">
                <v:shadow color="#7f7f7f" opacity=".5" offset="1pt"/>
              </v:rect>
            </w:pict>
          </mc:Fallback>
        </mc:AlternateContent>
      </w:r>
      <w:r w:rsidRPr="00A0260D">
        <w:rPr>
          <w:rFonts w:ascii="Tahoma" w:hAnsi="Tahoma" w:cs="Tahoma"/>
          <w:sz w:val="36"/>
          <w:szCs w:val="36"/>
        </w:rPr>
        <w:t>FINANCIAL INTELLIGENCE CENTRE</w:t>
      </w: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A0260D">
        <w:rPr>
          <w:rFonts w:ascii="Tahoma" w:hAnsi="Tahoma" w:cs="Tahoma"/>
          <w:b/>
          <w:sz w:val="36"/>
          <w:szCs w:val="36"/>
        </w:rPr>
        <w:t>ADMINISTRATIVE SANCTIONS / PENALTIES</w:t>
      </w: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3A4604" w:rsidRPr="00A0260D" w:rsidRDefault="003A4604" w:rsidP="003A4604">
      <w:pPr>
        <w:pStyle w:val="NoSpacing"/>
        <w:tabs>
          <w:tab w:val="left" w:pos="3570"/>
        </w:tabs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A0260D">
        <w:rPr>
          <w:rFonts w:ascii="Tahoma" w:hAnsi="Tahoma" w:cs="Tahoma"/>
          <w:sz w:val="36"/>
          <w:szCs w:val="36"/>
        </w:rPr>
        <w:t>FOR</w:t>
      </w:r>
    </w:p>
    <w:p w:rsidR="003A4604" w:rsidRPr="00A0260D" w:rsidRDefault="003A4604" w:rsidP="003A4604">
      <w:pPr>
        <w:pStyle w:val="NoSpacing"/>
        <w:tabs>
          <w:tab w:val="left" w:pos="3570"/>
        </w:tabs>
        <w:spacing w:line="360" w:lineRule="auto"/>
        <w:jc w:val="center"/>
        <w:rPr>
          <w:rFonts w:ascii="Tahoma" w:hAnsi="Tahoma" w:cs="Tahoma"/>
          <w:sz w:val="36"/>
          <w:szCs w:val="36"/>
        </w:rPr>
      </w:pP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A0260D">
        <w:rPr>
          <w:rFonts w:ascii="Tahoma" w:hAnsi="Tahoma" w:cs="Tahoma"/>
          <w:sz w:val="36"/>
          <w:szCs w:val="36"/>
        </w:rPr>
        <w:t>ANTI-MONEY LAUNDERING / COMBATTING THE FINANCING OF TERRORISM &amp; COMBATING THE FINANCING OF THE PROLIFERATION OF WEAPONS OF MASS DESTRUCTION (AML/CFT&amp; CPF)</w:t>
      </w: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A0260D">
        <w:rPr>
          <w:rFonts w:ascii="Tahoma" w:hAnsi="Tahoma" w:cs="Tahoma"/>
          <w:sz w:val="36"/>
          <w:szCs w:val="36"/>
        </w:rPr>
        <w:t>FOR</w:t>
      </w: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</w:p>
    <w:p w:rsidR="003A4604" w:rsidRPr="00A0260D" w:rsidRDefault="003A4604" w:rsidP="003A4604">
      <w:pPr>
        <w:pStyle w:val="NoSpacing"/>
        <w:spacing w:line="360" w:lineRule="auto"/>
        <w:jc w:val="center"/>
        <w:rPr>
          <w:rFonts w:ascii="Tahoma" w:hAnsi="Tahoma" w:cs="Tahoma"/>
          <w:sz w:val="36"/>
          <w:szCs w:val="36"/>
        </w:rPr>
      </w:pPr>
      <w:r w:rsidRPr="00A0260D">
        <w:rPr>
          <w:rFonts w:ascii="Tahoma" w:hAnsi="Tahoma" w:cs="Tahoma"/>
          <w:sz w:val="36"/>
          <w:szCs w:val="36"/>
        </w:rPr>
        <w:t>CAPITAL MARKET OPERATORS IN GHANA</w:t>
      </w:r>
      <w:r w:rsidRPr="00A0260D">
        <w:rPr>
          <w:rFonts w:ascii="Tahoma" w:hAnsi="Tahoma" w:cs="Tahoma"/>
          <w:noProof/>
          <w:sz w:val="36"/>
          <w:szCs w:val="36"/>
          <w:lang w:eastAsia="en-US"/>
        </w:rPr>
        <w:t xml:space="preserve"> </w:t>
      </w:r>
      <w:r w:rsidRPr="00A0260D">
        <w:rPr>
          <w:rFonts w:ascii="Tahoma" w:hAnsi="Tahoma" w:cs="Tahoma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5E43F8" wp14:editId="7A624C8B">
                <wp:simplePos x="0" y="0"/>
                <wp:positionH relativeFrom="page">
                  <wp:posOffset>-19050</wp:posOffset>
                </wp:positionH>
                <wp:positionV relativeFrom="page">
                  <wp:posOffset>47625</wp:posOffset>
                </wp:positionV>
                <wp:extent cx="8444865" cy="628650"/>
                <wp:effectExtent l="0" t="0" r="1333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486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5pt;margin-top:3.75pt;width:664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" o:allowincell="f" fillcolor="white [3201]" strokecolor="#f79646 [3209]" strokeweight="2pt">
                <w10:wrap anchorx="page" anchory="page"/>
              </v:rect>
            </w:pict>
          </mc:Fallback>
        </mc:AlternateContent>
      </w: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36"/>
          <w:szCs w:val="36"/>
        </w:rPr>
      </w:pPr>
    </w:p>
    <w:p w:rsidR="003A4604" w:rsidRDefault="003A4604" w:rsidP="004307CD">
      <w:pPr>
        <w:rPr>
          <w:rFonts w:ascii="Tahoma" w:hAnsi="Tahoma" w:cs="Tahoma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87906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A4604" w:rsidRPr="003A4604" w:rsidRDefault="003A4604" w:rsidP="003A4604">
          <w:pPr>
            <w:pStyle w:val="TOCHeading"/>
            <w:rPr>
              <w:color w:val="auto"/>
            </w:rPr>
          </w:pPr>
          <w:r w:rsidRPr="003A4604">
            <w:rPr>
              <w:color w:val="auto"/>
            </w:rPr>
            <w:t>Contents</w:t>
          </w:r>
        </w:p>
        <w:p w:rsidR="003A4604" w:rsidRPr="00C75F51" w:rsidRDefault="003A4604" w:rsidP="003A4604">
          <w:pPr>
            <w:rPr>
              <w:lang w:eastAsia="ja-JP"/>
            </w:rPr>
          </w:pPr>
          <w:r>
            <w:rPr>
              <w:lang w:eastAsia="ja-JP"/>
            </w:rPr>
            <w:t>Introduction</w:t>
          </w:r>
        </w:p>
        <w:p w:rsidR="004307CD" w:rsidRDefault="003A46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A0260D">
            <w:rPr>
              <w:sz w:val="28"/>
              <w:szCs w:val="28"/>
            </w:rPr>
            <w:fldChar w:fldCharType="begin"/>
          </w:r>
          <w:r w:rsidRPr="00A0260D">
            <w:rPr>
              <w:sz w:val="28"/>
              <w:szCs w:val="28"/>
            </w:rPr>
            <w:instrText xml:space="preserve"> TOC \o "1-3" \h \z \u </w:instrText>
          </w:r>
          <w:r w:rsidRPr="00A0260D">
            <w:rPr>
              <w:sz w:val="28"/>
              <w:szCs w:val="28"/>
            </w:rPr>
            <w:fldChar w:fldCharType="separate"/>
          </w:r>
          <w:hyperlink w:anchor="_Toc503860958" w:history="1">
            <w:r w:rsidR="004307CD" w:rsidRPr="00425DCD">
              <w:rPr>
                <w:rStyle w:val="Hyperlink"/>
                <w:b/>
                <w:noProof/>
              </w:rPr>
              <w:t>LEGAL PROVISIONS (Specific Section)</w:t>
            </w:r>
            <w:r w:rsidR="004307CD">
              <w:rPr>
                <w:noProof/>
                <w:webHidden/>
              </w:rPr>
              <w:tab/>
            </w:r>
            <w:r w:rsidR="004307CD">
              <w:rPr>
                <w:noProof/>
                <w:webHidden/>
              </w:rPr>
              <w:fldChar w:fldCharType="begin"/>
            </w:r>
            <w:r w:rsidR="004307CD">
              <w:rPr>
                <w:noProof/>
                <w:webHidden/>
              </w:rPr>
              <w:instrText xml:space="preserve"> PAGEREF _Toc503860958 \h </w:instrText>
            </w:r>
            <w:r w:rsidR="004307CD">
              <w:rPr>
                <w:noProof/>
                <w:webHidden/>
              </w:rPr>
            </w:r>
            <w:r w:rsidR="004307CD">
              <w:rPr>
                <w:noProof/>
                <w:webHidden/>
              </w:rPr>
              <w:fldChar w:fldCharType="separate"/>
            </w:r>
            <w:r w:rsidR="004307CD">
              <w:rPr>
                <w:noProof/>
                <w:webHidden/>
              </w:rPr>
              <w:t>2</w:t>
            </w:r>
            <w:r w:rsidR="004307CD"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59" w:history="1">
            <w:r w:rsidRPr="00425DCD">
              <w:rPr>
                <w:rStyle w:val="Hyperlink"/>
                <w:b/>
                <w:noProof/>
              </w:rPr>
              <w:t>APPLICABILITY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0" w:history="1">
            <w:r w:rsidRPr="00425DCD">
              <w:rPr>
                <w:rStyle w:val="Hyperlink"/>
                <w:b/>
                <w:noProof/>
              </w:rPr>
              <w:t>EFFECTIVE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r:id="rId9" w:anchor="_Toc503860961" w:history="1">
            <w:r w:rsidRPr="00425DCD">
              <w:rPr>
                <w:rStyle w:val="Hyperlink"/>
                <w:noProof/>
              </w:rPr>
              <w:t>COMPLIANCE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2" w:history="1">
            <w:r w:rsidRPr="00425DCD">
              <w:rPr>
                <w:rStyle w:val="Hyperlink"/>
                <w:b/>
                <w:noProof/>
              </w:rPr>
              <w:t>RELATIONSHIP WITH EXISTING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3" w:history="1">
            <w:r w:rsidRPr="00425DCD">
              <w:rPr>
                <w:rStyle w:val="Hyperlink"/>
                <w:b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4" w:history="1">
            <w:r w:rsidRPr="00425DCD">
              <w:rPr>
                <w:rStyle w:val="Hyperlink"/>
                <w:b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5" w:history="1">
            <w:r w:rsidRPr="00425DCD">
              <w:rPr>
                <w:rStyle w:val="Hyperlink"/>
                <w:b/>
                <w:noProof/>
              </w:rPr>
              <w:t>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6" w:history="1">
            <w:r w:rsidRPr="00425DCD">
              <w:rPr>
                <w:rStyle w:val="Hyperlink"/>
                <w:b/>
                <w:noProof/>
              </w:rPr>
              <w:t>PENALTIES/SANCTIONS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7" w:history="1">
            <w:r w:rsidRPr="00425DCD">
              <w:rPr>
                <w:rStyle w:val="Hyperlink"/>
                <w:rFonts w:ascii="Tahoma" w:hAnsi="Tahoma" w:cs="Tahoma"/>
                <w:noProof/>
              </w:rPr>
              <w:t>IONS (FINANCIAL PENALTIES):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8" w:history="1">
            <w:r w:rsidRPr="00425DCD">
              <w:rPr>
                <w:rStyle w:val="Hyperlink"/>
                <w:noProof/>
              </w:rPr>
              <w:t>APPENDIX B: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07CD" w:rsidRDefault="004307C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3860969" w:history="1">
            <w:r w:rsidRPr="00425DCD">
              <w:rPr>
                <w:rStyle w:val="Hyperlink"/>
                <w:noProof/>
              </w:rPr>
              <w:t>APPENDIX C: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_Toc503860969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604" w:rsidRPr="00A0260D" w:rsidRDefault="003A4604" w:rsidP="003A4604">
          <w:pPr>
            <w:rPr>
              <w:sz w:val="28"/>
              <w:szCs w:val="28"/>
            </w:rPr>
          </w:pPr>
          <w:r w:rsidRPr="00A0260D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4307CD" w:rsidRPr="00A0260D" w:rsidRDefault="004307CD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4307CD" w:rsidRDefault="004307CD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A4604" w:rsidRPr="003A4604" w:rsidTr="0043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0" w:name="_Toc503860958"/>
            <w:r w:rsidRPr="004307CD">
              <w:rPr>
                <w:b/>
                <w:color w:val="auto"/>
              </w:rPr>
              <w:lastRenderedPageBreak/>
              <w:t>LEGAL PROVISIONS (Specific Section)</w:t>
            </w:r>
            <w:bookmarkEnd w:id="0"/>
          </w:p>
        </w:tc>
      </w:tr>
    </w:tbl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This document is issued pursuant to:</w:t>
      </w:r>
    </w:p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A0260D">
        <w:rPr>
          <w:rFonts w:ascii="Tahoma" w:eastAsia="Batang" w:hAnsi="Tahoma" w:cs="Tahoma"/>
          <w:sz w:val="28"/>
          <w:szCs w:val="28"/>
        </w:rPr>
        <w:t>a) Sections 39 (5) &amp; (6) of the Anti-Money Laundering Act, 2008 (Act 749) as amended</w:t>
      </w:r>
      <w:r>
        <w:rPr>
          <w:rFonts w:ascii="Tahoma" w:eastAsia="Batang" w:hAnsi="Tahoma" w:cs="Tahoma"/>
          <w:sz w:val="28"/>
          <w:szCs w:val="28"/>
        </w:rPr>
        <w:t>.</w:t>
      </w:r>
      <w:r w:rsidRPr="00A0260D">
        <w:rPr>
          <w:rFonts w:ascii="Tahoma" w:eastAsia="Batang" w:hAnsi="Tahoma" w:cs="Tahoma"/>
          <w:sz w:val="28"/>
          <w:szCs w:val="28"/>
        </w:rPr>
        <w:t xml:space="preserve"> </w:t>
      </w:r>
      <w:r w:rsidRPr="00A0260D">
        <w:rPr>
          <w:rFonts w:ascii="Century Gothic" w:hAnsi="Century Gothic" w:cs="Arial"/>
          <w:b/>
          <w:sz w:val="28"/>
          <w:szCs w:val="28"/>
        </w:rPr>
        <w:t>Section 39 (5) provides that “</w:t>
      </w:r>
      <w:r w:rsidRPr="00A0260D">
        <w:rPr>
          <w:rFonts w:ascii="Century Gothic" w:hAnsi="Century Gothic" w:cs="Arial"/>
          <w:b/>
          <w:i/>
          <w:sz w:val="28"/>
          <w:szCs w:val="28"/>
        </w:rPr>
        <w:t>A person subject to an obligation under this Act who intentionally or by gross negligence fails to comply with the obligation</w:t>
      </w:r>
      <w:r>
        <w:rPr>
          <w:rFonts w:ascii="Century Gothic" w:hAnsi="Century Gothic" w:cs="Arial"/>
          <w:b/>
          <w:i/>
          <w:sz w:val="28"/>
          <w:szCs w:val="28"/>
        </w:rPr>
        <w:t>,</w:t>
      </w:r>
      <w:r w:rsidRPr="00A0260D">
        <w:rPr>
          <w:rFonts w:ascii="Century Gothic" w:hAnsi="Century Gothic" w:cs="Arial"/>
          <w:b/>
          <w:i/>
          <w:sz w:val="28"/>
          <w:szCs w:val="28"/>
        </w:rPr>
        <w:t xml:space="preserve"> commits an administrative violation and is subject to administrative sanctions by the competent supervisory body</w:t>
      </w:r>
      <w:r w:rsidRPr="00A0260D">
        <w:rPr>
          <w:rFonts w:ascii="Century Gothic" w:hAnsi="Century Gothic" w:cs="Arial"/>
          <w:b/>
          <w:sz w:val="28"/>
          <w:szCs w:val="28"/>
        </w:rPr>
        <w:t>.”</w:t>
      </w:r>
    </w:p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A0260D">
        <w:rPr>
          <w:rFonts w:ascii="Century Gothic" w:hAnsi="Century Gothic" w:cs="Arial"/>
          <w:b/>
          <w:sz w:val="28"/>
          <w:szCs w:val="28"/>
        </w:rPr>
        <w:t>Section 39 (6) provides that “</w:t>
      </w:r>
      <w:r w:rsidRPr="00A0260D">
        <w:rPr>
          <w:rFonts w:ascii="Century Gothic" w:hAnsi="Century Gothic" w:cs="Arial"/>
          <w:b/>
          <w:i/>
          <w:sz w:val="28"/>
          <w:szCs w:val="28"/>
        </w:rPr>
        <w:t>Where applicable, administrative proceedings may be carried out in parallel to criminal proceedings under subsections (1) to (3).”</w:t>
      </w:r>
    </w:p>
    <w:p w:rsidR="003A4604" w:rsidRPr="00A0260D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  <w:highlight w:val="yellow"/>
        </w:rPr>
      </w:pPr>
      <w:r w:rsidRPr="00A0260D">
        <w:rPr>
          <w:rFonts w:ascii="Tahoma" w:eastAsia="Batang" w:hAnsi="Tahoma" w:cs="Tahoma"/>
          <w:sz w:val="28"/>
          <w:szCs w:val="28"/>
        </w:rPr>
        <w:t>b) Section 138 of the Securities Industry Act, 2016 (Act 929)</w:t>
      </w:r>
    </w:p>
    <w:p w:rsidR="003A4604" w:rsidRPr="00A0260D" w:rsidRDefault="003A4604" w:rsidP="003A460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b/>
          <w:sz w:val="28"/>
          <w:szCs w:val="28"/>
        </w:rPr>
      </w:pPr>
      <w:r w:rsidRPr="00A0260D">
        <w:rPr>
          <w:rFonts w:ascii="Century Gothic" w:hAnsi="Century Gothic" w:cs="Tahoma"/>
          <w:b/>
          <w:sz w:val="28"/>
          <w:szCs w:val="28"/>
        </w:rPr>
        <w:t>Section 138 provides that “A broker-dealer, a fund manager and any other licensed person shall ensure that it operates in a manner that will ensure compliance with the provisions of the Anti-Money Laundering Act, 2008 (Act 749) as amended, the Anti-Terrorism Act, 2008 (Act 762) and the regulations made under these enactments”.</w:t>
      </w: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1" w:name="_Toc503860959"/>
            <w:r w:rsidRPr="004307CD">
              <w:rPr>
                <w:b/>
              </w:rPr>
              <w:t>APPLICABILITY</w:t>
            </w:r>
            <w:bookmarkEnd w:id="1"/>
          </w:p>
        </w:tc>
      </w:tr>
    </w:tbl>
    <w:p w:rsidR="007E6A47" w:rsidRPr="007E6A47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7E6A47">
        <w:rPr>
          <w:rFonts w:ascii="Tahoma" w:hAnsi="Tahoma" w:cs="Tahoma"/>
          <w:sz w:val="28"/>
          <w:szCs w:val="28"/>
        </w:rPr>
        <w:t>This document shall apply for contraventions of provisions in the Act 749 as amended and any other directives issued by Securities and Exchange Commission, Ghana and Financial Intelligence Centre.</w:t>
      </w:r>
    </w:p>
    <w:tbl>
      <w:tblPr>
        <w:tblStyle w:val="MediumShading1-Accent5"/>
        <w:tblpPr w:leftFromText="180" w:rightFromText="180" w:vertAnchor="text" w:horzAnchor="margin" w:tblpY="389"/>
        <w:tblW w:w="9727" w:type="dxa"/>
        <w:tblLook w:val="04A0" w:firstRow="1" w:lastRow="0" w:firstColumn="1" w:lastColumn="0" w:noHBand="0" w:noVBand="1"/>
      </w:tblPr>
      <w:tblGrid>
        <w:gridCol w:w="9727"/>
      </w:tblGrid>
      <w:tr w:rsidR="003A4604" w:rsidRPr="00A0260D" w:rsidTr="00BA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7" w:type="dxa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2" w:name="_Toc503860960"/>
            <w:r w:rsidRPr="004307CD">
              <w:rPr>
                <w:b/>
              </w:rPr>
              <w:lastRenderedPageBreak/>
              <w:t>EFFECTIVE DATE</w:t>
            </w:r>
            <w:bookmarkEnd w:id="2"/>
          </w:p>
        </w:tc>
      </w:tr>
    </w:tbl>
    <w:p w:rsidR="003A4604" w:rsidRPr="00A0260D" w:rsidRDefault="003A4604" w:rsidP="00BA3444">
      <w:bookmarkStart w:id="3" w:name="_Toc495923889"/>
      <w:bookmarkStart w:id="4" w:name="_Toc495923912"/>
      <w:bookmarkStart w:id="5" w:name="_Toc495923999"/>
      <w:bookmarkStart w:id="6" w:name="_Toc495993724"/>
      <w:bookmarkStart w:id="7" w:name="_Toc503435104"/>
      <w:bookmarkStart w:id="8" w:name="_Toc503437369"/>
      <w:bookmarkStart w:id="9" w:name="_Toc495923890"/>
      <w:bookmarkStart w:id="10" w:name="_Toc495923913"/>
      <w:bookmarkStart w:id="11" w:name="_Toc495924000"/>
      <w:bookmarkStart w:id="12" w:name="_Toc495993725"/>
      <w:bookmarkStart w:id="13" w:name="_Toc503435105"/>
      <w:bookmarkStart w:id="14" w:name="_Toc503437370"/>
      <w:bookmarkStart w:id="15" w:name="_Toc503442347"/>
      <w:bookmarkStart w:id="16" w:name="_Toc503442369"/>
      <w:bookmarkStart w:id="17" w:name="_Toc503860689"/>
      <w:bookmarkStart w:id="18" w:name="_Toc50386070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E6A47" w:rsidRPr="007E6A47" w:rsidRDefault="00BA3444" w:rsidP="00BA3444">
      <w:r w:rsidRPr="00BA34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133EC" wp14:editId="7EA1C65D">
                <wp:simplePos x="0" y="0"/>
                <wp:positionH relativeFrom="column">
                  <wp:posOffset>-104775</wp:posOffset>
                </wp:positionH>
                <wp:positionV relativeFrom="paragraph">
                  <wp:posOffset>260985</wp:posOffset>
                </wp:positionV>
                <wp:extent cx="619125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444" w:rsidRPr="007E6A47" w:rsidRDefault="00BA3444" w:rsidP="004307C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</w:pPr>
                            <w:bookmarkStart w:id="19" w:name="_Toc503860961"/>
                            <w:r w:rsidRPr="007E6A47">
                              <w:t>COMPLIANCE DATE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20.55pt;width:487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" fillcolor="#4bacc6 [3208]" strokecolor="#205867 [1608]" strokeweight="2pt">
                <v:textbox>
                  <w:txbxContent>
                    <w:p w:rsidR="00BA3444" w:rsidRPr="007E6A47" w:rsidRDefault="00BA3444" w:rsidP="004307CD">
                      <w:pPr>
                        <w:pStyle w:val="Heading1"/>
                        <w:numPr>
                          <w:ilvl w:val="0"/>
                          <w:numId w:val="0"/>
                        </w:numPr>
                      </w:pPr>
                      <w:bookmarkStart w:id="20" w:name="_Toc503860961"/>
                      <w:r w:rsidRPr="007E6A47">
                        <w:t>COMPLIANCE DATE</w:t>
                      </w:r>
                      <w:bookmarkEnd w:id="20"/>
                    </w:p>
                  </w:txbxContent>
                </v:textbox>
              </v:rect>
            </w:pict>
          </mc:Fallback>
        </mc:AlternateContent>
      </w:r>
      <w:r w:rsidR="007E6A47" w:rsidRPr="00BA3444">
        <w:rPr>
          <w:rFonts w:ascii="Tahoma" w:hAnsi="Tahoma" w:cs="Tahoma"/>
          <w:sz w:val="28"/>
          <w:szCs w:val="28"/>
        </w:rPr>
        <w:t>This document comes into effect on 28/02/201</w:t>
      </w:r>
      <w:r w:rsidRPr="00BA3444">
        <w:rPr>
          <w:rFonts w:ascii="Tahoma" w:hAnsi="Tahoma" w:cs="Tahoma"/>
          <w:sz w:val="28"/>
          <w:szCs w:val="28"/>
        </w:rPr>
        <w:t>8</w:t>
      </w:r>
    </w:p>
    <w:p w:rsidR="007E6A47" w:rsidRDefault="007E6A47" w:rsidP="003A4604"/>
    <w:p w:rsidR="007E6A47" w:rsidRDefault="007E6A47" w:rsidP="003A4604"/>
    <w:p w:rsidR="003A4604" w:rsidRPr="00A0260D" w:rsidRDefault="003A4604" w:rsidP="007E6A47">
      <w:pPr>
        <w:rPr>
          <w:rFonts w:ascii="Tahoma" w:hAnsi="Tahoma" w:cs="Tahoma"/>
          <w:sz w:val="28"/>
          <w:szCs w:val="28"/>
        </w:rPr>
      </w:pPr>
      <w:r w:rsidRPr="007E6A47">
        <w:rPr>
          <w:rFonts w:ascii="Tahoma" w:hAnsi="Tahoma" w:cs="Tahoma"/>
          <w:sz w:val="28"/>
          <w:szCs w:val="28"/>
        </w:rPr>
        <w:t>Compliance to the requirements outlined in this document shall take effect immediately, unless otherwise specified by Securities and Exchange Commission, Ghana.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21" w:name="_Toc503860962"/>
            <w:r w:rsidRPr="004307CD">
              <w:rPr>
                <w:b/>
              </w:rPr>
              <w:t>RELATIONSHIP WITH EXISTING POLICIES</w:t>
            </w:r>
            <w:bookmarkEnd w:id="21"/>
          </w:p>
        </w:tc>
      </w:tr>
    </w:tbl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This document shall be read together with other documents issued by the Securities and Exchange Commission, Ghana and the Financial Intelligence Centre relating to compliance with AML/CFT requirements.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22" w:name="_Toc503860963"/>
            <w:r w:rsidRPr="004307CD">
              <w:rPr>
                <w:b/>
              </w:rPr>
              <w:t>DEFINITIONS</w:t>
            </w:r>
            <w:bookmarkEnd w:id="22"/>
          </w:p>
        </w:tc>
      </w:tr>
    </w:tbl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AIs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A0260D">
              <w:rPr>
                <w:rFonts w:ascii="Tahoma" w:hAnsi="Tahoma" w:cs="Tahoma"/>
                <w:b w:val="0"/>
                <w:sz w:val="28"/>
                <w:szCs w:val="28"/>
              </w:rPr>
              <w:t>ACCOUNTABLE INSTITUTIONS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AML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ANTI-MONEY LAUNDERING </w:t>
            </w:r>
          </w:p>
        </w:tc>
      </w:tr>
      <w:tr w:rsidR="003A4604" w:rsidRPr="00A0260D" w:rsidTr="00F82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AML/CFT &amp;PF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Anti-Money Laundering, Countering the Financing of Terrorism and Combating the Financing of the Proliferation of weapons of mass destruction (AML)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AMLRO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ANTI-MONEY LAUNDERING REPORTING OFFICER</w:t>
            </w:r>
          </w:p>
        </w:tc>
      </w:tr>
      <w:tr w:rsidR="003A4604" w:rsidRPr="00A0260D" w:rsidTr="00F82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CFT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COMBATTING FINANCING OF TERRORISM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CMO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CAPITAL MARKET OPERATOR</w:t>
            </w:r>
          </w:p>
        </w:tc>
      </w:tr>
      <w:tr w:rsidR="003A4604" w:rsidRPr="00A0260D" w:rsidTr="00F82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FIC 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FINANCIAL INTELLIGENCE CENTRE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lastRenderedPageBreak/>
              <w:t>ML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MONEY LAUNDERING</w:t>
            </w:r>
          </w:p>
        </w:tc>
      </w:tr>
      <w:tr w:rsidR="003A4604" w:rsidRPr="00A0260D" w:rsidTr="00F82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SEC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SECURITIES AND EXCHANGE COMMISSION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TF 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TERRORISM FINANCING</w:t>
            </w:r>
          </w:p>
        </w:tc>
      </w:tr>
      <w:tr w:rsidR="003A4604" w:rsidRPr="00A0260D" w:rsidTr="00F82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PF </w:t>
            </w:r>
          </w:p>
        </w:tc>
        <w:tc>
          <w:tcPr>
            <w:tcW w:w="7218" w:type="dxa"/>
          </w:tcPr>
          <w:p w:rsidR="003A4604" w:rsidRPr="00A0260D" w:rsidRDefault="003A4604" w:rsidP="00F82D8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Proliferation of Weapons of Mass Destruction.</w:t>
            </w:r>
          </w:p>
        </w:tc>
      </w:tr>
    </w:tbl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4307CD" w:rsidRDefault="004307CD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4307CD" w:rsidRDefault="004307CD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4307CD" w:rsidRDefault="004307CD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892865" w:rsidRDefault="00892865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E91B8F" w:rsidRPr="00A0260D" w:rsidRDefault="00E91B8F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tbl>
      <w:tblPr>
        <w:tblStyle w:val="MediumShading1-Accent5"/>
        <w:tblW w:w="0" w:type="auto"/>
        <w:tblInd w:w="-342" w:type="dxa"/>
        <w:tblLook w:val="04A0" w:firstRow="1" w:lastRow="0" w:firstColumn="1" w:lastColumn="0" w:noHBand="0" w:noVBand="1"/>
      </w:tblPr>
      <w:tblGrid>
        <w:gridCol w:w="9918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23" w:name="_Toc503860964"/>
            <w:r w:rsidRPr="004307CD">
              <w:rPr>
                <w:b/>
              </w:rPr>
              <w:lastRenderedPageBreak/>
              <w:t>INTRODUCTION</w:t>
            </w:r>
            <w:bookmarkEnd w:id="23"/>
          </w:p>
        </w:tc>
      </w:tr>
    </w:tbl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860CCF" w:rsidRDefault="003A4604" w:rsidP="003A46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860CCF">
        <w:rPr>
          <w:rFonts w:ascii="Tahoma" w:hAnsi="Tahoma" w:cs="Tahoma"/>
          <w:sz w:val="28"/>
          <w:szCs w:val="28"/>
        </w:rPr>
        <w:t xml:space="preserve">Money Laundering and terrorism financing (ML/TF) are ongoing threats which have the potential to adversely affect Ghana’s reputation and financial sector. </w:t>
      </w:r>
    </w:p>
    <w:p w:rsidR="003A4604" w:rsidRPr="00A0260D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 xml:space="preserve">Ghana in recent years has taken tremendous strides to combat ML/TF through the passage of numerous laws and directives. Securities and Exchange Commission, Ghana and Financial Intelligence Centre, the two competent authorities do ensure reporting institutions are in compliance with AML/CFT requirements. </w:t>
      </w:r>
    </w:p>
    <w:p w:rsidR="003A4604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As part of its supervisory role in enforcing AML/CFT requirements, SEC and FIC introduce these penalties and sanction</w:t>
      </w:r>
      <w:r>
        <w:rPr>
          <w:rFonts w:ascii="Tahoma" w:hAnsi="Tahoma" w:cs="Tahoma"/>
          <w:sz w:val="28"/>
          <w:szCs w:val="28"/>
        </w:rPr>
        <w:t>s in the foregoing paragraphs.</w:t>
      </w:r>
    </w:p>
    <w:p w:rsidR="003A4604" w:rsidRPr="00E91B8F" w:rsidRDefault="003A4604" w:rsidP="003A460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860CCF">
        <w:rPr>
          <w:rFonts w:ascii="Tahoma" w:hAnsi="Tahoma" w:cs="Tahoma"/>
          <w:sz w:val="28"/>
          <w:szCs w:val="28"/>
        </w:rPr>
        <w:t>Reporting institutions must conduct their businesses with high ethical standards and avoid undertaking business relationships that may facilitate ML/TF.</w:t>
      </w:r>
    </w:p>
    <w:p w:rsidR="003A4604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6A6A6" w:themeFill="background1" w:themeFillShade="A6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24" w:name="_Toc503860965"/>
            <w:r w:rsidRPr="004307CD">
              <w:rPr>
                <w:b/>
              </w:rPr>
              <w:t>OBJECTIVE</w:t>
            </w:r>
            <w:bookmarkEnd w:id="24"/>
            <w:r w:rsidRPr="004307CD">
              <w:rPr>
                <w:b/>
              </w:rPr>
              <w:tab/>
            </w:r>
          </w:p>
        </w:tc>
      </w:tr>
    </w:tbl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  <w:lang w:val="en-CA"/>
        </w:rPr>
      </w:pPr>
    </w:p>
    <w:p w:rsidR="003A4604" w:rsidRPr="00A0260D" w:rsidRDefault="003A4604" w:rsidP="003A4604">
      <w:pPr>
        <w:pStyle w:val="Default"/>
        <w:spacing w:line="360" w:lineRule="auto"/>
        <w:jc w:val="both"/>
        <w:rPr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  <w:lang w:val="en-CA"/>
        </w:rPr>
        <w:t>This document is formulated to give guidance on compliance to Capital Market Operators on AML/CFT &amp; PF. It has been prepared in accordance with the provisions of the:</w:t>
      </w:r>
    </w:p>
    <w:p w:rsidR="003A4604" w:rsidRPr="00A0260D" w:rsidRDefault="003A4604" w:rsidP="003A4604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ind w:left="270" w:firstLine="0"/>
        <w:jc w:val="both"/>
        <w:rPr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Securities Industry Act, 2016 (Act 929)</w:t>
      </w:r>
    </w:p>
    <w:p w:rsidR="003A4604" w:rsidRPr="00A0260D" w:rsidRDefault="003A4604" w:rsidP="003A4604">
      <w:pPr>
        <w:pStyle w:val="Default"/>
        <w:numPr>
          <w:ilvl w:val="0"/>
          <w:numId w:val="6"/>
        </w:numPr>
        <w:tabs>
          <w:tab w:val="left" w:pos="450"/>
          <w:tab w:val="left" w:pos="540"/>
        </w:tabs>
        <w:spacing w:line="360" w:lineRule="auto"/>
        <w:ind w:left="450" w:hanging="180"/>
        <w:jc w:val="both"/>
        <w:rPr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  <w:lang w:val="en-CA"/>
        </w:rPr>
        <w:t>Anti-Money Laun</w:t>
      </w:r>
      <w:r>
        <w:rPr>
          <w:rFonts w:ascii="Tahoma" w:hAnsi="Tahoma" w:cs="Tahoma"/>
          <w:sz w:val="28"/>
          <w:szCs w:val="28"/>
          <w:lang w:val="en-CA"/>
        </w:rPr>
        <w:t xml:space="preserve">dering Act, 2008 (Act 749) as </w:t>
      </w:r>
      <w:r w:rsidRPr="00A0260D">
        <w:rPr>
          <w:rFonts w:ascii="Tahoma" w:hAnsi="Tahoma" w:cs="Tahoma"/>
          <w:sz w:val="28"/>
          <w:szCs w:val="28"/>
          <w:lang w:val="en-CA"/>
        </w:rPr>
        <w:t xml:space="preserve"> amended</w:t>
      </w:r>
      <w:r>
        <w:rPr>
          <w:rFonts w:ascii="Tahoma" w:hAnsi="Tahoma" w:cs="Tahoma"/>
          <w:sz w:val="28"/>
          <w:szCs w:val="28"/>
          <w:lang w:val="en-CA"/>
        </w:rPr>
        <w:t xml:space="preserve"> by</w:t>
      </w:r>
      <w:r w:rsidRPr="00A0260D">
        <w:rPr>
          <w:sz w:val="28"/>
          <w:szCs w:val="28"/>
        </w:rPr>
        <w:t xml:space="preserve"> Anti-Money   Laundering (Amendment) Act, 2014 (Act 874) and</w:t>
      </w:r>
    </w:p>
    <w:p w:rsidR="003A4604" w:rsidRDefault="003A4604" w:rsidP="003A4604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ind w:left="270" w:firstLine="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  <w:lang w:val="en-CA"/>
        </w:rPr>
        <w:lastRenderedPageBreak/>
        <w:t xml:space="preserve">SEC/FIC’s </w:t>
      </w:r>
      <w:r w:rsidRPr="00A0260D">
        <w:rPr>
          <w:rFonts w:ascii="Tahoma" w:hAnsi="Tahoma" w:cs="Tahoma"/>
          <w:sz w:val="28"/>
          <w:szCs w:val="28"/>
        </w:rPr>
        <w:t xml:space="preserve">Anti-Money Laundering/Combating the Financing of Terrorism Compliance Manual for Capital Market Operators (AML/CFT Compliance Manual) </w:t>
      </w:r>
      <w:r>
        <w:rPr>
          <w:rFonts w:ascii="Tahoma" w:hAnsi="Tahoma" w:cs="Tahoma"/>
          <w:sz w:val="28"/>
          <w:szCs w:val="28"/>
        </w:rPr>
        <w:t>and</w:t>
      </w:r>
    </w:p>
    <w:p w:rsidR="003A4604" w:rsidRPr="00A0260D" w:rsidRDefault="003A4604" w:rsidP="003A4604">
      <w:pPr>
        <w:pStyle w:val="Default"/>
        <w:numPr>
          <w:ilvl w:val="0"/>
          <w:numId w:val="6"/>
        </w:numPr>
        <w:tabs>
          <w:tab w:val="left" w:pos="450"/>
        </w:tabs>
        <w:spacing w:line="360" w:lineRule="auto"/>
        <w:ind w:left="270" w:firstLine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FATF Revised Recommendations.</w:t>
      </w:r>
    </w:p>
    <w:p w:rsidR="003A4604" w:rsidRPr="00A0260D" w:rsidRDefault="003A4604" w:rsidP="003A4604">
      <w:pPr>
        <w:spacing w:after="0" w:line="36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In addition, it provides a guideline to the sanctions that may be imposed on a capital market operator being regulated by the Securities and Exchange Commission</w:t>
      </w:r>
      <w:r>
        <w:rPr>
          <w:rFonts w:ascii="Tahoma" w:hAnsi="Tahoma" w:cs="Tahoma"/>
          <w:sz w:val="28"/>
          <w:szCs w:val="28"/>
        </w:rPr>
        <w:t xml:space="preserve"> (SEC)</w:t>
      </w:r>
      <w:r w:rsidRPr="00A0260D">
        <w:rPr>
          <w:rFonts w:ascii="Tahoma" w:hAnsi="Tahoma" w:cs="Tahoma"/>
          <w:sz w:val="28"/>
          <w:szCs w:val="28"/>
        </w:rPr>
        <w:t xml:space="preserve"> for contraventions of Anti-Money Laundering Legi</w:t>
      </w:r>
      <w:r>
        <w:rPr>
          <w:rFonts w:ascii="Tahoma" w:hAnsi="Tahoma" w:cs="Tahoma"/>
          <w:sz w:val="28"/>
          <w:szCs w:val="28"/>
        </w:rPr>
        <w:t>slation and other relevant regulations and directives/guideline issued by SEC or the FIC.</w:t>
      </w:r>
    </w:p>
    <w:p w:rsidR="003A4604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91B8F" w:rsidRPr="00A0260D" w:rsidRDefault="00E91B8F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Style w:val="MediumShading1-Accent5"/>
        <w:tblW w:w="11250" w:type="dxa"/>
        <w:tblInd w:w="-342" w:type="dxa"/>
        <w:tblLook w:val="04A0" w:firstRow="1" w:lastRow="0" w:firstColumn="1" w:lastColumn="0" w:noHBand="0" w:noVBand="1"/>
      </w:tblPr>
      <w:tblGrid>
        <w:gridCol w:w="11250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</w:tcPr>
          <w:p w:rsidR="003A4604" w:rsidRPr="004307CD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/>
              </w:rPr>
            </w:pPr>
            <w:bookmarkStart w:id="25" w:name="_Toc503860966"/>
            <w:r w:rsidRPr="004307CD">
              <w:rPr>
                <w:b/>
              </w:rPr>
              <w:lastRenderedPageBreak/>
              <w:t>PENALTIES/SANCTIONS</w:t>
            </w:r>
            <w:bookmarkEnd w:id="25"/>
          </w:p>
        </w:tc>
      </w:tr>
    </w:tbl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tbl>
      <w:tblPr>
        <w:tblStyle w:val="MediumGrid1-Accent5"/>
        <w:tblW w:w="5733" w:type="pct"/>
        <w:tblInd w:w="-972" w:type="dxa"/>
        <w:tblLayout w:type="fixed"/>
        <w:tblLook w:val="04A0" w:firstRow="1" w:lastRow="0" w:firstColumn="1" w:lastColumn="0" w:noHBand="0" w:noVBand="1"/>
      </w:tblPr>
      <w:tblGrid>
        <w:gridCol w:w="1171"/>
        <w:gridCol w:w="2342"/>
        <w:gridCol w:w="3868"/>
        <w:gridCol w:w="3599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F82D8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S/NO.</w:t>
            </w: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SECTION</w:t>
            </w:r>
          </w:p>
          <w:p w:rsidR="003A4604" w:rsidRPr="00A0260D" w:rsidRDefault="003A4604" w:rsidP="00F82D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OFFENCE</w:t>
            </w:r>
          </w:p>
        </w:tc>
        <w:tc>
          <w:tcPr>
            <w:tcW w:w="1639" w:type="pct"/>
          </w:tcPr>
          <w:p w:rsidR="003A4604" w:rsidRPr="00A0260D" w:rsidRDefault="003A4604" w:rsidP="00F82D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SUGGESTED ADMINISTRATIVE PENALTY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41</w:t>
            </w:r>
            <w:r w:rsidR="004168AB">
              <w:rPr>
                <w:rFonts w:ascii="Tahoma" w:hAnsi="Tahoma" w:cs="Tahoma"/>
                <w:b/>
                <w:sz w:val="28"/>
                <w:szCs w:val="28"/>
              </w:rPr>
              <w:t>(b)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 of Act 749 as amended by Section 20 (1)(b)and (2) of AML Amendment Act</w:t>
            </w:r>
          </w:p>
          <w:p w:rsidR="003A4604" w:rsidRPr="00A0260D" w:rsidRDefault="003A4604" w:rsidP="00F82D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A 3(i) of SEC/FIC AML/CFT Guidelines</w:t>
            </w: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Non designation of a compliance officer (AMLRO)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at management level;</w:t>
            </w:r>
          </w:p>
        </w:tc>
        <w:tc>
          <w:tcPr>
            <w:tcW w:w="1639" w:type="pct"/>
          </w:tcPr>
          <w:p w:rsidR="003A4604" w:rsidRPr="00005424" w:rsidRDefault="00801970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 minimum of 10</w:t>
            </w:r>
            <w:r w:rsidR="003A4604" w:rsidRPr="00A0260D">
              <w:rPr>
                <w:rFonts w:ascii="Tahoma" w:hAnsi="Tahoma" w:cs="Tahoma"/>
                <w:b/>
                <w:sz w:val="28"/>
                <w:szCs w:val="28"/>
              </w:rPr>
              <w:t>00</w:t>
            </w:r>
            <w:r w:rsidR="003A4604" w:rsidRPr="00CD7451">
              <w:rPr>
                <w:rFonts w:ascii="Tahoma" w:hAnsi="Tahoma" w:cs="Tahoma"/>
                <w:b/>
                <w:sz w:val="28"/>
                <w:szCs w:val="28"/>
              </w:rPr>
              <w:t xml:space="preserve"> penalty unit</w:t>
            </w:r>
            <w:r w:rsidR="003A4604">
              <w:rPr>
                <w:rFonts w:ascii="Tahoma" w:hAnsi="Tahoma" w:cs="Tahoma"/>
                <w:b/>
                <w:sz w:val="28"/>
                <w:szCs w:val="28"/>
              </w:rPr>
              <w:t>s</w:t>
            </w:r>
          </w:p>
          <w:p w:rsidR="003A4604" w:rsidRPr="00A0260D" w:rsidRDefault="003A4604" w:rsidP="00F82D8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Section 19(2) of AML amendment Act 874</w:t>
            </w:r>
          </w:p>
          <w:p w:rsidR="003A4604" w:rsidRPr="00A0260D" w:rsidRDefault="003A4604" w:rsidP="00F82D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Part A 2ii(9) of SEC/FIC AML/CFT </w:t>
            </w: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Guidelines</w:t>
            </w: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Failure to develop and implement internal risk assessment programme;</w:t>
            </w:r>
          </w:p>
        </w:tc>
        <w:tc>
          <w:tcPr>
            <w:tcW w:w="1639" w:type="pct"/>
          </w:tcPr>
          <w:p w:rsidR="003A4604" w:rsidRPr="00A0260D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 minimum of 500 penalty units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CD7451" w:rsidRDefault="003A4604" w:rsidP="003A460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CD7451" w:rsidRDefault="003A4604" w:rsidP="00F82D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</w:t>
            </w:r>
            <w:r w:rsidRPr="00CD7451">
              <w:rPr>
                <w:rFonts w:ascii="Tahoma" w:hAnsi="Tahoma" w:cs="Tahoma"/>
                <w:b/>
                <w:sz w:val="28"/>
                <w:szCs w:val="28"/>
              </w:rPr>
              <w:t>ection 41 of Act 749 as amended by Section 20 (1)(b)and (2) of AML Amendment Act</w:t>
            </w:r>
          </w:p>
          <w:p w:rsidR="003A4604" w:rsidRPr="00CD7451" w:rsidRDefault="003A4604" w:rsidP="00F82D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CD7451">
              <w:rPr>
                <w:rFonts w:ascii="Tahoma" w:hAnsi="Tahoma" w:cs="Tahoma"/>
                <w:b/>
                <w:sz w:val="28"/>
                <w:szCs w:val="28"/>
              </w:rPr>
              <w:t>Section 18(1)(c-d) of AML amendment Act  874</w:t>
            </w: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CD7451">
              <w:rPr>
                <w:rFonts w:ascii="Tahoma" w:hAnsi="Tahoma" w:cs="Tahoma"/>
                <w:b/>
                <w:sz w:val="28"/>
                <w:szCs w:val="28"/>
              </w:rPr>
              <w:t>Failure to provide the Commission access to information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  <w:p w:rsidR="003A4604" w:rsidRPr="00CD7451" w:rsidRDefault="003A4604" w:rsidP="00F82D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CD7451" w:rsidRDefault="003A4604" w:rsidP="00F82D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CD7451">
              <w:rPr>
                <w:rFonts w:ascii="Tahoma" w:hAnsi="Tahoma" w:cs="Tahoma"/>
                <w:b/>
                <w:sz w:val="28"/>
                <w:szCs w:val="28"/>
              </w:rPr>
              <w:t>CMOs are to allow competent authorities, either domestically or</w:t>
            </w:r>
            <w:r w:rsidRPr="00CD7451">
              <w:rPr>
                <w:rFonts w:ascii="Tahoma" w:hAnsi="Tahoma" w:cs="Tahoma"/>
                <w:b/>
                <w:strike/>
                <w:sz w:val="28"/>
                <w:szCs w:val="28"/>
              </w:rPr>
              <w:t xml:space="preserve"> </w:t>
            </w:r>
            <w:r w:rsidRPr="00CD7451">
              <w:rPr>
                <w:rFonts w:ascii="Tahoma" w:hAnsi="Tahoma" w:cs="Tahoma"/>
                <w:b/>
                <w:sz w:val="28"/>
                <w:szCs w:val="28"/>
              </w:rPr>
              <w:t>internationally access to information to perform their AML/CFT functions.</w:t>
            </w:r>
          </w:p>
        </w:tc>
        <w:tc>
          <w:tcPr>
            <w:tcW w:w="1639" w:type="pct"/>
          </w:tcPr>
          <w:p w:rsidR="003A4604" w:rsidRPr="00E72E1F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500</w:t>
            </w:r>
            <w:r w:rsidRPr="00CD7451">
              <w:rPr>
                <w:rFonts w:ascii="Tahoma" w:hAnsi="Tahoma" w:cs="Tahoma"/>
                <w:b/>
                <w:sz w:val="28"/>
                <w:szCs w:val="28"/>
              </w:rPr>
              <w:t xml:space="preserve"> penalty units</w:t>
            </w:r>
          </w:p>
        </w:tc>
      </w:tr>
      <w:tr w:rsidR="003A4604" w:rsidRPr="00A0260D" w:rsidTr="00F82D85">
        <w:trPr>
          <w:trHeight w:val="6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23 of Act 749 as amended by Section6(1)(2)(3)(4) of AML Amendment Act, Act 874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B(1-2) of SEC/FIC AML/CFT Guidelines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Failure to perform Customer Due Diligence(CDD) by CMOs including 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C19">
              <w:rPr>
                <w:rFonts w:ascii="Tahoma" w:hAnsi="Tahoma" w:cs="Tahoma"/>
                <w:b/>
                <w:sz w:val="28"/>
                <w:szCs w:val="28"/>
              </w:rPr>
              <w:t>identification and verification of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>existing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C19">
              <w:rPr>
                <w:rFonts w:ascii="Tahoma" w:hAnsi="Tahoma" w:cs="Tahoma"/>
                <w:b/>
                <w:sz w:val="28"/>
                <w:szCs w:val="28"/>
              </w:rPr>
              <w:t>customers, occasional customers and the ultimate beneficiary of corporate entities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C19">
              <w:rPr>
                <w:rFonts w:ascii="Tahoma" w:hAnsi="Tahoma" w:cs="Tahoma"/>
                <w:b/>
                <w:sz w:val="28"/>
                <w:szCs w:val="28"/>
              </w:rPr>
              <w:t>during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>on-boarding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C19">
              <w:rPr>
                <w:rFonts w:ascii="Tahoma" w:hAnsi="Tahoma" w:cs="Tahoma"/>
                <w:b/>
                <w:sz w:val="28"/>
                <w:szCs w:val="28"/>
              </w:rPr>
              <w:t>of new customers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CD7451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500</w:t>
            </w:r>
            <w:r w:rsidRPr="00CD7451">
              <w:rPr>
                <w:rFonts w:ascii="Tahoma" w:hAnsi="Tahoma" w:cs="Tahoma"/>
                <w:b/>
                <w:sz w:val="28"/>
                <w:szCs w:val="28"/>
              </w:rPr>
              <w:t xml:space="preserve"> penalty units</w:t>
            </w:r>
          </w:p>
          <w:p w:rsidR="003A4604" w:rsidRPr="00196478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 Section 23 of Act 749 as  amended by   Section (5) of AML Amendment Act, Act 874</w:t>
            </w:r>
          </w:p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Regulation 16 of AML Regulations.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Part B 2.6(i) of SEC/FIC </w:t>
            </w: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AML/CFT Guidelines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Failure of CMOs to perform enhanced due diligence </w:t>
            </w:r>
            <w:r w:rsidRPr="006E072E">
              <w:rPr>
                <w:rFonts w:ascii="Tahoma" w:hAnsi="Tahoma" w:cs="Tahoma"/>
                <w:b/>
                <w:sz w:val="28"/>
                <w:szCs w:val="28"/>
              </w:rPr>
              <w:t>(EDD)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>on any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of their Higher Risk Customers;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CD7451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CD7451">
              <w:rPr>
                <w:rFonts w:ascii="Tahoma" w:hAnsi="Tahoma" w:cs="Tahoma"/>
                <w:b/>
                <w:sz w:val="28"/>
                <w:szCs w:val="28"/>
              </w:rPr>
              <w:t>CMOs shall perform enhanced due diligence on all high risk rated customers, business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D7451">
              <w:rPr>
                <w:rFonts w:ascii="Tahoma" w:hAnsi="Tahoma" w:cs="Tahoma"/>
                <w:b/>
                <w:sz w:val="28"/>
                <w:szCs w:val="28"/>
              </w:rPr>
              <w:t xml:space="preserve">relationships and transactions based on the </w:t>
            </w:r>
            <w:r w:rsidRPr="00CD745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institutions Internal Risk Assessment Framework.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AD34AA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 A minimum of 500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CD7451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F2753C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 Section 6(14) of AML Amendment Act, Act 874</w:t>
            </w:r>
          </w:p>
          <w:p w:rsidR="00892865" w:rsidRPr="00A0260D" w:rsidRDefault="00892865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B 2.7 (b) 0f SEC/ FIC AML/CFT Guidelines</w:t>
            </w: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 Failure to perform CDD on Cross- Border Securities Trading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CD7451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CD7451">
              <w:rPr>
                <w:rFonts w:ascii="Tahoma" w:hAnsi="Tahoma" w:cs="Tahoma"/>
                <w:b/>
                <w:sz w:val="28"/>
                <w:szCs w:val="28"/>
              </w:rPr>
              <w:t>CMOs shall perform CDD requirements on all cross border s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ecurities trading relationships.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6D310D" w:rsidRDefault="003A4604" w:rsidP="003A460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6D310D">
              <w:rPr>
                <w:rFonts w:ascii="Tahoma" w:hAnsi="Tahoma" w:cs="Tahoma"/>
                <w:b/>
                <w:sz w:val="28"/>
                <w:szCs w:val="28"/>
              </w:rPr>
              <w:t>A minimum of 1,000</w:t>
            </w:r>
            <w:r w:rsidRPr="006D31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D310D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Section 23(16) of AML Act, 749 as amended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C (i) of SEC/FIC AML/CFT Guidelines</w:t>
            </w: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Failure to implement appropriate policies and internal risk assessment for new technologies and non-face to face products and distribution channels;</w:t>
            </w:r>
          </w:p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6D31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6D310D">
              <w:rPr>
                <w:rFonts w:ascii="Tahoma" w:hAnsi="Tahoma" w:cs="Tahoma"/>
                <w:b/>
                <w:sz w:val="28"/>
                <w:szCs w:val="28"/>
              </w:rPr>
              <w:t xml:space="preserve">CMOs shall have in place policies and internal risk </w:t>
            </w:r>
            <w:r w:rsidRPr="006D31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assessment framework with appropriate mitigating measures to prevent the misuse of such technological developments in ML/TF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1639" w:type="pct"/>
          </w:tcPr>
          <w:p w:rsidR="003A4604" w:rsidRPr="00495D15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B 2.5(iv) of SEC/FIC AML/CFT Guidelines</w:t>
            </w: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6D310D">
              <w:rPr>
                <w:rFonts w:ascii="Tahoma" w:hAnsi="Tahoma" w:cs="Tahoma"/>
                <w:b/>
                <w:sz w:val="28"/>
                <w:szCs w:val="28"/>
              </w:rPr>
              <w:t>Failure to conduct simplified CDD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  <w:p w:rsidR="003A4604" w:rsidRPr="006D31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6D31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6D310D">
              <w:rPr>
                <w:rFonts w:ascii="Tahoma" w:hAnsi="Tahoma" w:cs="Tahoma"/>
                <w:b/>
                <w:sz w:val="28"/>
                <w:szCs w:val="28"/>
              </w:rPr>
              <w:t>CMOs shall adopt CDD procedures on a risk sensitive basis, simplified CDD procedures shall apply to lower risk custo</w:t>
            </w:r>
            <w:r>
              <w:rPr>
                <w:rFonts w:ascii="Tahoma" w:hAnsi="Tahoma" w:cs="Tahoma"/>
                <w:b/>
                <w:sz w:val="28"/>
                <w:szCs w:val="28"/>
              </w:rPr>
              <w:t>mers, transactions and products.</w:t>
            </w:r>
          </w:p>
        </w:tc>
        <w:tc>
          <w:tcPr>
            <w:tcW w:w="1639" w:type="pct"/>
          </w:tcPr>
          <w:p w:rsidR="003A4604" w:rsidRPr="0032734D" w:rsidRDefault="003A4604" w:rsidP="003A460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 minimum of 500 penalty units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6 (16) and Section 19 (2)(d) of AML Amendment Act, Act 874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C (2) of SEC/FIC AML/CFT Guidelines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Failure of CMOs to maintain records of transactions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>CMOs shall maintain records of transactions for seven (7) years.</w:t>
            </w:r>
          </w:p>
          <w:p w:rsidR="003A4604" w:rsidRPr="00A0260D" w:rsidRDefault="003A4604" w:rsidP="00F82D85">
            <w:pPr>
              <w:spacing w:line="360" w:lineRule="auto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A0260D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4,000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 Section 24 to 32 of the Securities Industry Act 2016 (Act 929) and Section 24 of 749 as amended by Section (8) of AML Amendment Act, Act 874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Part B 2.11 of SEC/FIC </w:t>
            </w: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AML/CFT Guidelines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1. Failure to  report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Unusual and Complex Large /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Suspicious Transactions to FIC;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CMOs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 xml:space="preserve">shall review complex and unusually large transactions or unusual patterns and suspicious transactions and report to FIC within 24 hours after arriving at a decision. </w:t>
            </w:r>
          </w:p>
          <w:p w:rsidR="003A4604" w:rsidRPr="005320C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2. Failure to document decisions and reasons for not filling STRs with FIC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A0260D" w:rsidRDefault="003A4604" w:rsidP="00F82D85">
            <w:pPr>
              <w:numPr>
                <w:ilvl w:val="0"/>
                <w:numId w:val="3"/>
              </w:numPr>
              <w:spacing w:after="200" w:line="360" w:lineRule="auto"/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 minimum of 3,000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23 of Act 749 as amended by Section 6(6</w:t>
            </w:r>
            <w:r>
              <w:rPr>
                <w:rFonts w:ascii="Tahoma" w:hAnsi="Tahoma" w:cs="Tahoma"/>
                <w:b/>
                <w:sz w:val="28"/>
                <w:szCs w:val="28"/>
              </w:rPr>
              <w:t>) of AML Amendment Act, Act 874</w:t>
            </w:r>
          </w:p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11(1)(2) of AML Amendment Act, Act 874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A 2(i) of SEC/FIC AML/CFT Guidelines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Pr="006D619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6D619D">
              <w:rPr>
                <w:rFonts w:ascii="Tahoma" w:hAnsi="Tahoma" w:cs="Tahoma"/>
                <w:b/>
                <w:sz w:val="28"/>
                <w:szCs w:val="28"/>
              </w:rPr>
              <w:t>Failure of CMOs to establish internal policies and procedures to prevent money launde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ring and financing of terrorism;</w:t>
            </w:r>
          </w:p>
        </w:tc>
        <w:tc>
          <w:tcPr>
            <w:tcW w:w="1639" w:type="pct"/>
          </w:tcPr>
          <w:p w:rsidR="003A4604" w:rsidRPr="00CA1234" w:rsidRDefault="003A4604" w:rsidP="00F82D85">
            <w:pPr>
              <w:numPr>
                <w:ilvl w:val="0"/>
                <w:numId w:val="3"/>
              </w:numPr>
              <w:spacing w:after="200" w:line="36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1,000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Section 40 of Act 749 as amended by Section 19(1)(2) of AML Amendment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Act, Act 874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Doing Business with Shell Banks, proh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ibited customers and countries;</w:t>
            </w:r>
          </w:p>
          <w:p w:rsidR="003A4604" w:rsidRPr="005320C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 xml:space="preserve">Prohibition of   un-numbered or anonymous account, accounts in fictitious names, shell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banks, pro</w:t>
            </w:r>
            <w:r>
              <w:rPr>
                <w:rFonts w:ascii="Tahoma" w:hAnsi="Tahoma" w:cs="Tahoma"/>
                <w:b/>
                <w:sz w:val="28"/>
                <w:szCs w:val="28"/>
              </w:rPr>
              <w:t>hibited customers and countries;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5320C4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3500 penalty units on the Managing Director</w:t>
            </w:r>
          </w:p>
          <w:p w:rsidR="003A4604" w:rsidRPr="005320C4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>5000 penalty units on the CMO</w:t>
            </w: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Section 40(5-6) of AML, Act 749 as amended</w:t>
            </w: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Failure to ensure that foreign branches and subsidiaries of parent companies observe AML/CFT procedures consistent with the provisions of SEC/FIC AML/CFT Guidelines and apply local laws and regulations;</w:t>
            </w:r>
          </w:p>
        </w:tc>
        <w:tc>
          <w:tcPr>
            <w:tcW w:w="1639" w:type="pct"/>
          </w:tcPr>
          <w:p w:rsidR="003A4604" w:rsidRPr="00A0260D" w:rsidRDefault="003A4604" w:rsidP="003A4604">
            <w:pPr>
              <w:numPr>
                <w:ilvl w:val="0"/>
                <w:numId w:val="3"/>
              </w:numPr>
              <w:spacing w:line="360" w:lineRule="auto"/>
              <w:ind w:left="25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A minimum of 500 penalty units</w:t>
            </w: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Section 40 of Act 749 as amended by Section 19 (5)(6)  of AML Amendment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Act, Act 874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Failure of CMOs to file Cash Transaction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Reports;</w:t>
            </w: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Financial Institution shall report to the FIC all cash transactions within Ghana in any currency above the stipulated threshold set by the FIC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  <w:p w:rsidR="003A4604" w:rsidRPr="005320C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AD34AA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 minimum of 6,000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40 of Act 749 as amended by Sections 19(2)(c) and 20(1)(a) of AML Amendment Act, Act 874</w:t>
            </w:r>
          </w:p>
          <w:p w:rsidR="003A4604" w:rsidRPr="00A0260D" w:rsidRDefault="00892865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C 7(b) of SEC/FIC AML/CFT Guidelines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>Failure of CMOs to carry out Employee E</w:t>
            </w:r>
            <w:r>
              <w:rPr>
                <w:rFonts w:ascii="Tahoma" w:hAnsi="Tahoma" w:cs="Tahoma"/>
                <w:b/>
                <w:sz w:val="28"/>
                <w:szCs w:val="28"/>
              </w:rPr>
              <w:t>ducation and Training Programme;</w:t>
            </w: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>Failure to develop a regular training program and conduct training for its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management/employee;</w:t>
            </w:r>
          </w:p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>The board shall receive AML training annually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This includes training and fora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>organized by SEC/FIC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5320C4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 minimum of 500 penalty units</w:t>
            </w:r>
          </w:p>
          <w:p w:rsidR="003A4604" w:rsidRPr="005320C4" w:rsidRDefault="003A4604" w:rsidP="00F82D85">
            <w:pPr>
              <w:spacing w:line="360" w:lineRule="auto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23 of Act 749 as amended by Section 6(5) 6(6)(a)(b) of AML Amendment Act, Act 874</w:t>
            </w:r>
          </w:p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C 7(b)(iii)(b) of SEC/FIC AML/CFT Guidelines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CD061D">
              <w:rPr>
                <w:rFonts w:ascii="Tahoma" w:hAnsi="Tahoma" w:cs="Tahoma"/>
                <w:b/>
                <w:sz w:val="28"/>
                <w:szCs w:val="28"/>
              </w:rPr>
              <w:t xml:space="preserve">Failure to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implement and </w:t>
            </w:r>
            <w:r w:rsidRPr="00CD061D">
              <w:rPr>
                <w:rFonts w:ascii="Tahoma" w:hAnsi="Tahoma" w:cs="Tahoma"/>
                <w:b/>
                <w:sz w:val="28"/>
                <w:szCs w:val="28"/>
              </w:rPr>
              <w:t>communicate AML/CFT compliance program to staff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  <w:p w:rsidR="003A4604" w:rsidRPr="00CD061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>Every staff shall have a copy of the 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MOs Compliance Program.</w:t>
            </w:r>
          </w:p>
        </w:tc>
        <w:tc>
          <w:tcPr>
            <w:tcW w:w="1639" w:type="pct"/>
          </w:tcPr>
          <w:p w:rsidR="003A4604" w:rsidRPr="00AD34AA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3,000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1066" w:type="pct"/>
          </w:tcPr>
          <w:p w:rsidR="003A4604" w:rsidRPr="0027306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27306D">
              <w:rPr>
                <w:rFonts w:ascii="Tahoma" w:hAnsi="Tahoma" w:cs="Tahoma"/>
                <w:b/>
                <w:sz w:val="28"/>
                <w:szCs w:val="28"/>
              </w:rPr>
              <w:t>Part C 7(b)(iii)(a) of SEC/FIC AML/CFT Guidelines</w:t>
            </w: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Failure of CMOs to screen and monitor Employees before and after employment</w:t>
            </w:r>
            <w:r w:rsidR="008D5C86"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  <w:p w:rsidR="008D5C86" w:rsidRPr="00A0260D" w:rsidRDefault="008D5C86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5320C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320C4">
              <w:rPr>
                <w:rFonts w:ascii="Tahoma" w:hAnsi="Tahoma" w:cs="Tahoma"/>
                <w:b/>
                <w:sz w:val="28"/>
                <w:szCs w:val="28"/>
              </w:rPr>
              <w:t xml:space="preserve">CMOs shall monitor employees for the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purpose of money laundering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>AML/CFT performance review shall be made part of the employee’s annual appraisals.</w:t>
            </w:r>
          </w:p>
        </w:tc>
        <w:tc>
          <w:tcPr>
            <w:tcW w:w="1639" w:type="pct"/>
          </w:tcPr>
          <w:p w:rsidR="003A4604" w:rsidRPr="00AD34AA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 minimum of 4,000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320C4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4D6B92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4D6B92">
              <w:rPr>
                <w:rFonts w:ascii="Tahoma" w:hAnsi="Tahoma" w:cs="Tahoma"/>
                <w:b/>
                <w:sz w:val="28"/>
                <w:szCs w:val="28"/>
              </w:rPr>
              <w:t>Part C(7</w:t>
            </w:r>
            <w:r>
              <w:rPr>
                <w:rFonts w:ascii="Tahoma" w:hAnsi="Tahoma" w:cs="Tahoma"/>
                <w:b/>
                <w:sz w:val="28"/>
                <w:szCs w:val="28"/>
              </w:rPr>
              <w:t>) of SEC/FIC AML/CFT Guidelines</w:t>
            </w: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Failure to include policies in AML/CFT Compliance Programme to protect staff from victimization;</w:t>
            </w:r>
          </w:p>
        </w:tc>
        <w:tc>
          <w:tcPr>
            <w:tcW w:w="1639" w:type="pct"/>
          </w:tcPr>
          <w:p w:rsidR="003A4604" w:rsidRPr="00A0260D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 minimum of 1,000 penalty units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40 of Act 749 as amended Section 19(2)(e) of AML Amendment Act, Act 874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D (i) of SEC/FIC AML/CFT Guidelines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Failur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e to assess areas of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>AML/CFT risks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and policies to mitigate risks;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171343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>CMOs shall review the AML/CFT policies from time to time with the view of identifying new risks.</w:t>
            </w:r>
          </w:p>
        </w:tc>
        <w:tc>
          <w:tcPr>
            <w:tcW w:w="1639" w:type="pct"/>
          </w:tcPr>
          <w:p w:rsidR="003A4604" w:rsidRPr="00A0260D" w:rsidRDefault="003A4604" w:rsidP="00F82D85">
            <w:pPr>
              <w:spacing w:line="360" w:lineRule="auto"/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 minimum of 5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t>00 penalty units</w:t>
            </w: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597FEB" w:rsidRDefault="00892865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597FEB">
              <w:rPr>
                <w:rFonts w:ascii="Tahoma" w:hAnsi="Tahoma" w:cs="Tahoma"/>
                <w:b/>
                <w:sz w:val="28"/>
                <w:szCs w:val="28"/>
              </w:rPr>
              <w:t xml:space="preserve">Part D (1) (a) </w:t>
            </w:r>
            <w:r w:rsidRPr="00597FEB">
              <w:rPr>
                <w:rFonts w:ascii="Tahoma" w:hAnsi="Tahoma" w:cs="Tahoma"/>
                <w:b/>
                <w:sz w:val="28"/>
                <w:szCs w:val="28"/>
              </w:rPr>
              <w:lastRenderedPageBreak/>
              <w:t>(b) and Part D (2)</w:t>
            </w: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Non documentation of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Addi</w:t>
            </w:r>
            <w:r>
              <w:rPr>
                <w:rFonts w:ascii="Tahoma" w:hAnsi="Tahoma" w:cs="Tahoma"/>
                <w:b/>
                <w:sz w:val="28"/>
                <w:szCs w:val="28"/>
              </w:rPr>
              <w:t>tional Procedures and Mitigants;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D34AA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CMOs shall design additional procedures &amp; mitigants as contingency plan in their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AML/CFT operational guidelines.</w:t>
            </w:r>
          </w:p>
        </w:tc>
        <w:tc>
          <w:tcPr>
            <w:tcW w:w="1639" w:type="pct"/>
          </w:tcPr>
          <w:p w:rsidR="003A4604" w:rsidRPr="00A0260D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 minimum of 3,000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B0F10">
              <w:rPr>
                <w:rFonts w:ascii="Tahoma" w:hAnsi="Tahoma" w:cs="Tahoma"/>
                <w:b/>
                <w:sz w:val="28"/>
                <w:szCs w:val="28"/>
              </w:rPr>
              <w:lastRenderedPageBreak/>
              <w:t>penalty units.</w:t>
            </w:r>
          </w:p>
          <w:p w:rsidR="003A4604" w:rsidRDefault="003A4604" w:rsidP="00F82D85">
            <w:pPr>
              <w:spacing w:line="360" w:lineRule="auto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3A4604" w:rsidRPr="00AD34AA" w:rsidRDefault="003A4604" w:rsidP="00F82D85">
            <w:pPr>
              <w:spacing w:line="360" w:lineRule="auto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D34AA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3,000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6" w:type="pct"/>
          </w:tcPr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Section 40 of Act 749 as amended by Section 19(1) of AML Amendment Act, Act 874 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A 2(iii) of SEC/FIC AML/CFT Guidelines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61" w:type="pct"/>
          </w:tcPr>
          <w:p w:rsidR="003A4604" w:rsidRPr="00171343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lastRenderedPageBreak/>
              <w:t>Failure to conduct independent audit tes</w:t>
            </w:r>
            <w:r>
              <w:rPr>
                <w:rFonts w:ascii="Tahoma" w:hAnsi="Tahoma" w:cs="Tahoma"/>
                <w:b/>
                <w:sz w:val="28"/>
                <w:szCs w:val="28"/>
              </w:rPr>
              <w:t>t of AML/CFT Compliance Program;</w:t>
            </w:r>
          </w:p>
          <w:p w:rsidR="003A4604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171343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 xml:space="preserve">CMOs shall make it a policy commitment to subject its AML/CFT compliance program to independent testing or require its internal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auditor to determine its efficiency.</w:t>
            </w:r>
          </w:p>
        </w:tc>
        <w:tc>
          <w:tcPr>
            <w:tcW w:w="1639" w:type="pct"/>
          </w:tcPr>
          <w:p w:rsidR="003A4604" w:rsidRPr="00171343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 minimum of 3,000 penalty units</w:t>
            </w:r>
          </w:p>
          <w:p w:rsidR="003A4604" w:rsidRPr="00171343" w:rsidRDefault="003A4604" w:rsidP="00F82D85">
            <w:pPr>
              <w:spacing w:line="360" w:lineRule="auto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3A4604" w:rsidRPr="00A0260D" w:rsidTr="00F82D85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lastRenderedPageBreak/>
              <w:t xml:space="preserve">1     </w:t>
            </w: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Section 24 of the Securities Industry Act (Act 929) 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A 2(iv) of SEC/FIC AML/CFT Guidelines</w:t>
            </w:r>
          </w:p>
        </w:tc>
        <w:tc>
          <w:tcPr>
            <w:tcW w:w="1761" w:type="pct"/>
          </w:tcPr>
          <w:p w:rsidR="003A4604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Failure to obtain Board Approval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of AML/CFT Compliance Programme;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171343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>Management shall ensure that all AML/CFT Programme is approved by the Board.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17798B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 minimum of 3,000 penalty units</w:t>
            </w: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D (8) of SEC/FIC AML/CFT Guidelines</w:t>
            </w:r>
          </w:p>
        </w:tc>
        <w:tc>
          <w:tcPr>
            <w:tcW w:w="1761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 Failure to Submit  required reports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:rsidR="003A4604" w:rsidRPr="00171343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>a. non-submission,</w:t>
            </w:r>
          </w:p>
          <w:p w:rsidR="003A4604" w:rsidRPr="00171343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>b. incomplete submission,</w:t>
            </w:r>
          </w:p>
          <w:p w:rsidR="003A4604" w:rsidRPr="00171343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 xml:space="preserve">c. delayed submission, 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>d. inaccurate submission and other reports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ab/>
            </w:r>
          </w:p>
        </w:tc>
        <w:tc>
          <w:tcPr>
            <w:tcW w:w="1639" w:type="pct"/>
          </w:tcPr>
          <w:p w:rsidR="003A4604" w:rsidRPr="00A0260D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3,000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pct"/>
          </w:tcPr>
          <w:p w:rsidR="003A4604" w:rsidRPr="00A0260D" w:rsidRDefault="003A4604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30(3) of Act 749 as amended by 11of 874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Section 39 of Act 749 as </w:t>
            </w:r>
            <w:r w:rsidRPr="00A0260D">
              <w:rPr>
                <w:rFonts w:ascii="Tahoma" w:hAnsi="Tahoma" w:cs="Tahoma"/>
                <w:b/>
                <w:sz w:val="28"/>
                <w:szCs w:val="28"/>
              </w:rPr>
              <w:lastRenderedPageBreak/>
              <w:t>amended by Section 18(1)(e)</w:t>
            </w:r>
          </w:p>
        </w:tc>
        <w:tc>
          <w:tcPr>
            <w:tcW w:w="1761" w:type="pct"/>
          </w:tcPr>
          <w:p w:rsidR="003A4604" w:rsidRPr="00B51F56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B51F56">
              <w:rPr>
                <w:rFonts w:ascii="Tahoma" w:hAnsi="Tahoma" w:cs="Tahoma"/>
                <w:b/>
                <w:sz w:val="28"/>
                <w:szCs w:val="28"/>
              </w:rPr>
              <w:lastRenderedPageBreak/>
              <w:t>Failure to comply with interventions of the FIC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</w:tc>
        <w:tc>
          <w:tcPr>
            <w:tcW w:w="1639" w:type="pct"/>
          </w:tcPr>
          <w:p w:rsidR="003A4604" w:rsidRPr="00A0260D" w:rsidRDefault="003A4604" w:rsidP="003A4604">
            <w:pPr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 xml:space="preserve">4000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 on the Managing Director</w:t>
            </w:r>
          </w:p>
          <w:p w:rsidR="003A4604" w:rsidRPr="00A0260D" w:rsidRDefault="003A4604" w:rsidP="00F82D85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6" w:type="pct"/>
          </w:tcPr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23(1) of Act 749 as amended by section 6(1) of Act 874</w:t>
            </w:r>
          </w:p>
        </w:tc>
        <w:tc>
          <w:tcPr>
            <w:tcW w:w="1761" w:type="pct"/>
          </w:tcPr>
          <w:p w:rsidR="003A4604" w:rsidRPr="009520CA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9520CA">
              <w:rPr>
                <w:rFonts w:ascii="Tahoma" w:hAnsi="Tahoma" w:cs="Tahoma"/>
                <w:b/>
                <w:sz w:val="28"/>
                <w:szCs w:val="28"/>
              </w:rPr>
              <w:t>Conducting transaction in a manner as to avoid reporting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</w:tc>
        <w:tc>
          <w:tcPr>
            <w:tcW w:w="1639" w:type="pct"/>
          </w:tcPr>
          <w:p w:rsidR="003A4604" w:rsidRPr="005B051F" w:rsidRDefault="003A4604" w:rsidP="003A4604">
            <w:pPr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500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</w:tc>
      </w:tr>
      <w:tr w:rsidR="003A4604" w:rsidRPr="00A0260D" w:rsidTr="00F82D85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066" w:type="pct"/>
          </w:tcPr>
          <w:p w:rsidR="003A4604" w:rsidRDefault="003A4604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24 of Securities Industry Act, (Act 929)</w:t>
            </w:r>
          </w:p>
          <w:p w:rsidR="00597FEB" w:rsidRDefault="00597FEB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97FEB" w:rsidRPr="00A0260D" w:rsidRDefault="00597FEB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Section 18 (1) (e) of AML Amendment Act 874</w:t>
            </w:r>
          </w:p>
        </w:tc>
        <w:tc>
          <w:tcPr>
            <w:tcW w:w="1761" w:type="pct"/>
          </w:tcPr>
          <w:p w:rsidR="003A4604" w:rsidRPr="00385CC4" w:rsidRDefault="003A4604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385CC4">
              <w:rPr>
                <w:rFonts w:ascii="Tahoma" w:hAnsi="Tahoma" w:cs="Tahoma"/>
                <w:b/>
                <w:sz w:val="28"/>
                <w:szCs w:val="28"/>
              </w:rPr>
              <w:t>Disclosing information on reports to FIC to third parties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</w:tc>
        <w:tc>
          <w:tcPr>
            <w:tcW w:w="1639" w:type="pct"/>
          </w:tcPr>
          <w:p w:rsidR="003A4604" w:rsidRPr="00171343" w:rsidRDefault="003A4604" w:rsidP="003A4604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2,000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171343" w:rsidRDefault="003A4604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A0260D" w:rsidRDefault="003A4604" w:rsidP="00F82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A4604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3A4604" w:rsidRPr="00A0260D" w:rsidRDefault="003A4604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066" w:type="pct"/>
          </w:tcPr>
          <w:p w:rsidR="003A4604" w:rsidRDefault="003A4604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9 of Act 874</w:t>
            </w:r>
          </w:p>
          <w:p w:rsidR="003A4604" w:rsidRPr="00A0260D" w:rsidRDefault="003A4604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D (8</w:t>
            </w:r>
            <w:r w:rsidR="008D5C86">
              <w:rPr>
                <w:rFonts w:ascii="Tahoma" w:hAnsi="Tahoma" w:cs="Tahoma"/>
                <w:b/>
                <w:sz w:val="28"/>
                <w:szCs w:val="28"/>
              </w:rPr>
              <w:t>) of SEC/FIC AML/CFT Guidelines</w:t>
            </w:r>
            <w:bookmarkStart w:id="26" w:name="_GoBack"/>
            <w:bookmarkEnd w:id="26"/>
          </w:p>
        </w:tc>
        <w:tc>
          <w:tcPr>
            <w:tcW w:w="1761" w:type="pct"/>
          </w:tcPr>
          <w:p w:rsidR="003A4604" w:rsidRDefault="003A4604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385CC4">
              <w:rPr>
                <w:rFonts w:ascii="Tahoma" w:hAnsi="Tahoma" w:cs="Tahoma"/>
                <w:b/>
                <w:sz w:val="28"/>
                <w:szCs w:val="28"/>
              </w:rPr>
              <w:t>Failure to respond to the Commission’s requests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for information on time;</w:t>
            </w:r>
          </w:p>
          <w:p w:rsidR="003A4604" w:rsidRDefault="003A4604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A4604" w:rsidRPr="00385CC4" w:rsidRDefault="003A4604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39" w:type="pct"/>
          </w:tcPr>
          <w:p w:rsidR="003A4604" w:rsidRPr="00171343" w:rsidRDefault="003A4604" w:rsidP="003A460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4,000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3A4604" w:rsidRPr="00171343" w:rsidRDefault="003A4604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  <w:p w:rsidR="003A4604" w:rsidRPr="00A0260D" w:rsidRDefault="003A4604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532A" w:rsidRPr="00A0260D" w:rsidTr="0070532A">
        <w:trPr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70532A" w:rsidRPr="00A0260D" w:rsidRDefault="0070532A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066" w:type="pct"/>
          </w:tcPr>
          <w:p w:rsidR="0070532A" w:rsidRPr="00A0260D" w:rsidRDefault="0070532A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201 of the Securities Industry Act(Act 929)</w:t>
            </w:r>
          </w:p>
        </w:tc>
        <w:tc>
          <w:tcPr>
            <w:tcW w:w="1761" w:type="pct"/>
          </w:tcPr>
          <w:p w:rsidR="0070532A" w:rsidRPr="00BD560F" w:rsidRDefault="0070532A" w:rsidP="00306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BD560F">
              <w:rPr>
                <w:rFonts w:ascii="Tahoma" w:hAnsi="Tahoma" w:cs="Tahoma"/>
                <w:b/>
                <w:sz w:val="28"/>
                <w:szCs w:val="28"/>
              </w:rPr>
              <w:t>Making false and/or misleading statements in filings to the Commission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</w:tc>
        <w:tc>
          <w:tcPr>
            <w:tcW w:w="1639" w:type="pct"/>
          </w:tcPr>
          <w:p w:rsidR="0070532A" w:rsidRPr="00A0260D" w:rsidRDefault="0070532A" w:rsidP="003A4604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2,000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70532A" w:rsidRPr="00A0260D" w:rsidRDefault="0070532A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</w:tr>
      <w:tr w:rsidR="0070532A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70532A" w:rsidRPr="00A0260D" w:rsidRDefault="0070532A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066" w:type="pct"/>
          </w:tcPr>
          <w:p w:rsidR="0070532A" w:rsidRPr="00A0260D" w:rsidRDefault="0070532A" w:rsidP="00F82D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20 of ACT 874</w:t>
            </w:r>
          </w:p>
        </w:tc>
        <w:tc>
          <w:tcPr>
            <w:tcW w:w="1761" w:type="pct"/>
          </w:tcPr>
          <w:p w:rsidR="0070532A" w:rsidRPr="000B6D13" w:rsidRDefault="0070532A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0B6D13">
              <w:rPr>
                <w:rFonts w:ascii="Tahoma" w:hAnsi="Tahoma" w:cs="Tahoma"/>
                <w:b/>
                <w:sz w:val="28"/>
                <w:szCs w:val="28"/>
              </w:rPr>
              <w:t>Failure of CMOs  to implement Examiner or Auditor’s recommendations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</w:tc>
        <w:tc>
          <w:tcPr>
            <w:tcW w:w="1639" w:type="pct"/>
          </w:tcPr>
          <w:p w:rsidR="0070532A" w:rsidRPr="00A0260D" w:rsidRDefault="0070532A" w:rsidP="003A460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A minimum of 200</w:t>
            </w:r>
            <w:r w:rsidRPr="00A026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1343">
              <w:rPr>
                <w:rFonts w:ascii="Tahoma" w:hAnsi="Tahoma" w:cs="Tahoma"/>
                <w:b/>
                <w:sz w:val="28"/>
                <w:szCs w:val="28"/>
              </w:rPr>
              <w:t>penalty units</w:t>
            </w:r>
          </w:p>
          <w:p w:rsidR="0070532A" w:rsidRPr="00A0260D" w:rsidRDefault="0070532A" w:rsidP="00F82D85">
            <w:pPr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532A" w:rsidRPr="00A0260D" w:rsidRDefault="0070532A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532A" w:rsidRPr="00A0260D" w:rsidRDefault="0070532A" w:rsidP="00F82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532A" w:rsidRPr="00A0260D" w:rsidTr="00F82D85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70532A" w:rsidRPr="00A0260D" w:rsidRDefault="0070532A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6" w:type="pct"/>
          </w:tcPr>
          <w:p w:rsidR="0070532A" w:rsidRDefault="0070532A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B 2.10(i-vi) of SEC/FIC AML/CFT Guidelines</w:t>
            </w:r>
          </w:p>
          <w:p w:rsidR="0070532A" w:rsidRDefault="0070532A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0532A" w:rsidRPr="00A0260D" w:rsidRDefault="0070532A" w:rsidP="00461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A0260D">
              <w:rPr>
                <w:rFonts w:ascii="Tahoma" w:hAnsi="Tahoma" w:cs="Tahoma"/>
                <w:b/>
                <w:sz w:val="28"/>
                <w:szCs w:val="28"/>
              </w:rPr>
              <w:t>Section 23 of Act 749 as amended by section 6(5) of Act 874</w:t>
            </w:r>
          </w:p>
          <w:p w:rsidR="0070532A" w:rsidRDefault="0070532A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800E2" w:rsidRPr="00A0260D" w:rsidRDefault="006800E2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Reg. 8 (1) of Anti-Money Laundering Regulations </w:t>
            </w:r>
          </w:p>
        </w:tc>
        <w:tc>
          <w:tcPr>
            <w:tcW w:w="1761" w:type="pct"/>
          </w:tcPr>
          <w:p w:rsidR="0070532A" w:rsidRPr="00115B00" w:rsidRDefault="0070532A" w:rsidP="00F82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15B00">
              <w:rPr>
                <w:rFonts w:ascii="Tahoma" w:hAnsi="Tahoma" w:cs="Tahoma"/>
                <w:b/>
                <w:sz w:val="28"/>
                <w:szCs w:val="28"/>
              </w:rPr>
              <w:t>Failure to put in mechanisms to identify P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EPs and other high risk clients;</w:t>
            </w:r>
          </w:p>
        </w:tc>
        <w:tc>
          <w:tcPr>
            <w:tcW w:w="1639" w:type="pct"/>
          </w:tcPr>
          <w:p w:rsidR="0070532A" w:rsidRPr="002E5AB1" w:rsidRDefault="0070532A" w:rsidP="003A460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2E5AB1">
              <w:rPr>
                <w:rFonts w:ascii="Tahoma" w:hAnsi="Tahoma" w:cs="Tahoma"/>
                <w:b/>
                <w:sz w:val="28"/>
                <w:szCs w:val="28"/>
              </w:rPr>
              <w:t>A minimum of 500</w:t>
            </w:r>
            <w:r w:rsidRPr="002E5AB1">
              <w:rPr>
                <w:rFonts w:ascii="Tahoma" w:hAnsi="Tahoma" w:cs="Tahoma"/>
                <w:sz w:val="28"/>
                <w:szCs w:val="28"/>
              </w:rPr>
              <w:t xml:space="preserve"> penalty units</w:t>
            </w:r>
          </w:p>
        </w:tc>
      </w:tr>
      <w:tr w:rsidR="0070532A" w:rsidRPr="00A0260D" w:rsidTr="00F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:rsidR="0070532A" w:rsidRPr="00A0260D" w:rsidRDefault="0070532A" w:rsidP="003A460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A0260D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1066" w:type="pct"/>
          </w:tcPr>
          <w:p w:rsidR="0070532A" w:rsidRPr="00A0260D" w:rsidRDefault="0070532A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1" w:type="pct"/>
          </w:tcPr>
          <w:p w:rsidR="0070532A" w:rsidRPr="00B51F56" w:rsidRDefault="0070532A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B51F56">
              <w:rPr>
                <w:rFonts w:ascii="Tahoma" w:hAnsi="Tahoma" w:cs="Tahoma"/>
                <w:b/>
                <w:sz w:val="28"/>
                <w:szCs w:val="28"/>
              </w:rPr>
              <w:t>Failure to attend designated AML/CFT Training Programme without tangible reason(s)</w:t>
            </w:r>
            <w:r>
              <w:rPr>
                <w:rFonts w:ascii="Tahoma" w:hAnsi="Tahoma" w:cs="Tahoma"/>
                <w:b/>
                <w:sz w:val="28"/>
                <w:szCs w:val="28"/>
              </w:rPr>
              <w:t>;</w:t>
            </w:r>
          </w:p>
        </w:tc>
        <w:tc>
          <w:tcPr>
            <w:tcW w:w="1639" w:type="pct"/>
          </w:tcPr>
          <w:p w:rsidR="0070532A" w:rsidRPr="00171343" w:rsidRDefault="0070532A" w:rsidP="00F82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8"/>
              </w:rPr>
            </w:pPr>
            <w:r w:rsidRPr="00171343">
              <w:rPr>
                <w:rFonts w:ascii="Tahoma" w:hAnsi="Tahoma" w:cs="Tahoma"/>
                <w:b/>
                <w:sz w:val="28"/>
                <w:szCs w:val="28"/>
              </w:rPr>
              <w:t>A minimum of 500 penalty units</w:t>
            </w:r>
          </w:p>
        </w:tc>
      </w:tr>
    </w:tbl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3A4604" w:rsidRDefault="003A4604" w:rsidP="003A4604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3A4604" w:rsidRPr="00A0260D" w:rsidRDefault="003A4604" w:rsidP="003A4604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BA3444" w:rsidRDefault="00BA3444" w:rsidP="00E91B8F">
      <w:pPr>
        <w:pStyle w:val="Heading1"/>
        <w:numPr>
          <w:ilvl w:val="0"/>
          <w:numId w:val="0"/>
        </w:numPr>
        <w:rPr>
          <w:rFonts w:ascii="Century Gothic" w:eastAsiaTheme="minorHAnsi" w:hAnsi="Century Gothic" w:cstheme="minorBidi"/>
          <w:b w:val="0"/>
          <w:bCs w:val="0"/>
          <w:kern w:val="0"/>
          <w:sz w:val="28"/>
          <w:szCs w:val="28"/>
        </w:rPr>
      </w:pPr>
    </w:p>
    <w:p w:rsidR="004307CD" w:rsidRPr="004307CD" w:rsidRDefault="004307CD" w:rsidP="004307CD"/>
    <w:p w:rsidR="00BA3444" w:rsidRPr="00BA3444" w:rsidRDefault="00BA3444" w:rsidP="00BA3444"/>
    <w:p w:rsidR="003A4604" w:rsidRPr="00E506FE" w:rsidRDefault="003A4604" w:rsidP="00E91B8F">
      <w:pPr>
        <w:pStyle w:val="Heading1"/>
        <w:numPr>
          <w:ilvl w:val="0"/>
          <w:numId w:val="0"/>
        </w:numPr>
        <w:rPr>
          <w:rFonts w:ascii="Tahoma" w:hAnsi="Tahoma" w:cs="Tahoma"/>
          <w:sz w:val="28"/>
          <w:szCs w:val="28"/>
        </w:rPr>
      </w:pPr>
      <w:bookmarkStart w:id="27" w:name="_Toc503860967"/>
      <w:r w:rsidRPr="00E506FE">
        <w:rPr>
          <w:rFonts w:ascii="Tahoma" w:hAnsi="Tahoma" w:cs="Tahoma"/>
          <w:sz w:val="28"/>
          <w:szCs w:val="28"/>
        </w:rPr>
        <w:lastRenderedPageBreak/>
        <w:t>IONS (FINANCIAL PENALTIES):</w:t>
      </w:r>
      <w:bookmarkEnd w:id="27"/>
      <w:r w:rsidRPr="00E506FE">
        <w:rPr>
          <w:rFonts w:ascii="Tahoma" w:hAnsi="Tahoma" w:cs="Tahoma"/>
          <w:sz w:val="28"/>
          <w:szCs w:val="28"/>
        </w:rPr>
        <w:t xml:space="preserve">  </w:t>
      </w: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Refer to sanction</w:t>
      </w:r>
      <w:r>
        <w:rPr>
          <w:rFonts w:ascii="Tahoma" w:hAnsi="Tahoma" w:cs="Tahoma"/>
          <w:sz w:val="28"/>
          <w:szCs w:val="28"/>
        </w:rPr>
        <w:t>s</w:t>
      </w:r>
      <w:r w:rsidRPr="00A0260D">
        <w:rPr>
          <w:rFonts w:ascii="Tahoma" w:hAnsi="Tahoma" w:cs="Tahoma"/>
          <w:sz w:val="28"/>
          <w:szCs w:val="28"/>
        </w:rPr>
        <w:t>/penalties document.</w:t>
      </w: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:rsidR="003A4604" w:rsidRPr="00A8203C" w:rsidRDefault="003A4604" w:rsidP="003A4604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spacing w:after="0" w:line="360" w:lineRule="auto"/>
        <w:rPr>
          <w:rFonts w:ascii="Tahoma" w:hAnsi="Tahoma" w:cs="Tahoma"/>
          <w:sz w:val="28"/>
          <w:szCs w:val="28"/>
        </w:rPr>
      </w:pPr>
      <w:r w:rsidRPr="00A8203C">
        <w:rPr>
          <w:rFonts w:ascii="Tahoma" w:hAnsi="Tahoma" w:cs="Tahoma"/>
          <w:sz w:val="28"/>
          <w:szCs w:val="28"/>
        </w:rPr>
        <w:tab/>
      </w:r>
      <w:r w:rsidRPr="00A8203C">
        <w:rPr>
          <w:rFonts w:ascii="Tahoma" w:hAnsi="Tahoma" w:cs="Tahoma"/>
          <w:b/>
          <w:sz w:val="28"/>
          <w:szCs w:val="28"/>
        </w:rPr>
        <w:t>ADMINSTRATIVE SANCTIONS</w:t>
      </w:r>
    </w:p>
    <w:p w:rsidR="003A4604" w:rsidRPr="00A0260D" w:rsidRDefault="003A4604" w:rsidP="003A4604">
      <w:pPr>
        <w:spacing w:after="0" w:line="360" w:lineRule="auto"/>
        <w:ind w:left="1440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Where the contravention of offences (as described in the sanctions/penalties document</w:t>
      </w:r>
      <w:r w:rsidRPr="00A0260D">
        <w:rPr>
          <w:rFonts w:ascii="Tahoma" w:hAnsi="Tahoma" w:cs="Tahoma"/>
          <w:i/>
          <w:sz w:val="28"/>
          <w:szCs w:val="28"/>
        </w:rPr>
        <w:t>)</w:t>
      </w:r>
      <w:r w:rsidRPr="00A0260D">
        <w:rPr>
          <w:rFonts w:ascii="Tahoma" w:hAnsi="Tahoma" w:cs="Tahoma"/>
          <w:sz w:val="28"/>
          <w:szCs w:val="28"/>
        </w:rPr>
        <w:t xml:space="preserve"> persists after three penalties, the Securities and Exchange Commission, Ghana will exercise one or more of the prerogative actions listed below, in addition to the penalties.</w:t>
      </w:r>
    </w:p>
    <w:p w:rsidR="003A4604" w:rsidRPr="00A0260D" w:rsidRDefault="003A4604" w:rsidP="003A4604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360" w:lineRule="auto"/>
        <w:ind w:left="1710" w:hanging="18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Blacklisting of AMLRO from working in any financial institution for one (1) or more years depending on severity of the offence</w:t>
      </w:r>
      <w:r>
        <w:rPr>
          <w:rFonts w:ascii="Tahoma" w:hAnsi="Tahoma" w:cs="Tahoma"/>
          <w:sz w:val="28"/>
          <w:szCs w:val="28"/>
        </w:rPr>
        <w:t>;</w:t>
      </w:r>
    </w:p>
    <w:p w:rsidR="003A4604" w:rsidRPr="00A0260D" w:rsidRDefault="003A4604" w:rsidP="003A4604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360" w:lineRule="auto"/>
        <w:ind w:left="1710" w:hanging="18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 xml:space="preserve"> Direct penalties on the Managing Director (MD), Anti-Money Laundering Reporting Officer (AMLRO) or any officer who is identified as being responsible for the breaches</w:t>
      </w:r>
      <w:r>
        <w:rPr>
          <w:rFonts w:ascii="Tahoma" w:hAnsi="Tahoma" w:cs="Tahoma"/>
          <w:sz w:val="28"/>
          <w:szCs w:val="28"/>
        </w:rPr>
        <w:t>;</w:t>
      </w:r>
    </w:p>
    <w:p w:rsidR="003A4604" w:rsidRPr="00A0260D" w:rsidRDefault="003A4604" w:rsidP="003A4604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360" w:lineRule="auto"/>
        <w:ind w:left="1710" w:hanging="180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Naming and shaming in the media to act as deterrent for future breaches</w:t>
      </w:r>
      <w:r>
        <w:rPr>
          <w:rFonts w:ascii="Tahoma" w:hAnsi="Tahoma" w:cs="Tahoma"/>
          <w:sz w:val="28"/>
          <w:szCs w:val="28"/>
        </w:rPr>
        <w:t xml:space="preserve"> of the AML/CFT regime in Ghana;</w:t>
      </w:r>
    </w:p>
    <w:p w:rsidR="003A4604" w:rsidRPr="00A0260D" w:rsidRDefault="003A4604" w:rsidP="003A4604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360" w:lineRule="auto"/>
        <w:ind w:left="1710" w:hanging="180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Refusal to develop new products and/or branches or other restriction of license</w:t>
      </w:r>
      <w:r>
        <w:rPr>
          <w:rFonts w:ascii="Tahoma" w:hAnsi="Tahoma" w:cs="Tahoma"/>
          <w:sz w:val="28"/>
          <w:szCs w:val="28"/>
        </w:rPr>
        <w:t>;</w:t>
      </w:r>
    </w:p>
    <w:p w:rsidR="003A4604" w:rsidRPr="00A0260D" w:rsidRDefault="003A4604" w:rsidP="003A4604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360" w:lineRule="auto"/>
        <w:ind w:left="1710" w:hanging="180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Suspension of license</w:t>
      </w:r>
      <w:r>
        <w:rPr>
          <w:rFonts w:ascii="Tahoma" w:hAnsi="Tahoma" w:cs="Tahoma"/>
          <w:sz w:val="28"/>
          <w:szCs w:val="28"/>
        </w:rPr>
        <w:t>; and</w:t>
      </w:r>
    </w:p>
    <w:p w:rsidR="003A4604" w:rsidRDefault="003A4604" w:rsidP="003A4604">
      <w:pPr>
        <w:pStyle w:val="ListParagraph"/>
        <w:numPr>
          <w:ilvl w:val="0"/>
          <w:numId w:val="4"/>
        </w:numPr>
        <w:tabs>
          <w:tab w:val="left" w:pos="1710"/>
          <w:tab w:val="left" w:pos="1800"/>
        </w:tabs>
        <w:spacing w:after="0" w:line="360" w:lineRule="auto"/>
        <w:ind w:left="1710" w:hanging="1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Revocation of license.</w:t>
      </w:r>
    </w:p>
    <w:p w:rsidR="003A4604" w:rsidRPr="00A8203C" w:rsidRDefault="003A4604" w:rsidP="003A4604">
      <w:pPr>
        <w:pStyle w:val="ListParagraph"/>
        <w:numPr>
          <w:ilvl w:val="0"/>
          <w:numId w:val="8"/>
        </w:numPr>
        <w:tabs>
          <w:tab w:val="left" w:pos="990"/>
          <w:tab w:val="left" w:pos="1710"/>
          <w:tab w:val="left" w:pos="1800"/>
        </w:tabs>
        <w:spacing w:after="0" w:line="360" w:lineRule="auto"/>
        <w:rPr>
          <w:rFonts w:ascii="Tahoma" w:hAnsi="Tahoma" w:cs="Tahoma"/>
          <w:sz w:val="28"/>
          <w:szCs w:val="28"/>
        </w:rPr>
      </w:pPr>
      <w:r w:rsidRPr="00A8203C">
        <w:rPr>
          <w:rFonts w:ascii="Tahoma" w:hAnsi="Tahoma" w:cs="Tahoma"/>
          <w:sz w:val="28"/>
          <w:szCs w:val="28"/>
        </w:rPr>
        <w:tab/>
      </w:r>
      <w:r w:rsidRPr="00A8203C">
        <w:rPr>
          <w:rFonts w:ascii="Tahoma" w:hAnsi="Tahoma" w:cs="Tahoma"/>
          <w:b/>
          <w:sz w:val="28"/>
          <w:szCs w:val="28"/>
        </w:rPr>
        <w:t>SUPERVISORY RATINGS ON AML/CFT COMPLIANCE</w:t>
      </w:r>
    </w:p>
    <w:p w:rsidR="003A4604" w:rsidRPr="00A0260D" w:rsidRDefault="003A4604" w:rsidP="003A4604">
      <w:pPr>
        <w:spacing w:after="0"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 xml:space="preserve">The Commission is setting up a rating system for Financial Institutions (FIs) who are assessed based on their violations of any of the sanctions. The ratings are categorized into four (4) </w:t>
      </w:r>
      <w:r w:rsidRPr="00A0260D">
        <w:rPr>
          <w:rFonts w:ascii="Tahoma" w:hAnsi="Tahoma" w:cs="Tahoma"/>
          <w:sz w:val="28"/>
          <w:szCs w:val="28"/>
        </w:rPr>
        <w:lastRenderedPageBreak/>
        <w:t>sections, (Compliance, Largely compliance, partially compliance and non-compliance). This rating would be published yearly.</w:t>
      </w:r>
    </w:p>
    <w:p w:rsidR="003A4604" w:rsidRPr="00A0260D" w:rsidRDefault="003A4604" w:rsidP="003A4604">
      <w:pPr>
        <w:spacing w:after="0"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 xml:space="preserve">These are; </w:t>
      </w:r>
    </w:p>
    <w:p w:rsidR="003A4604" w:rsidRPr="00A0260D" w:rsidRDefault="003A4604" w:rsidP="003A4604">
      <w:pPr>
        <w:spacing w:after="0"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b/>
          <w:sz w:val="28"/>
          <w:szCs w:val="28"/>
        </w:rPr>
        <w:t>COMPLIANT</w:t>
      </w:r>
      <w:r w:rsidRPr="00A0260D">
        <w:rPr>
          <w:rFonts w:ascii="Tahoma" w:hAnsi="Tahoma" w:cs="Tahoma"/>
          <w:sz w:val="28"/>
          <w:szCs w:val="28"/>
        </w:rPr>
        <w:t xml:space="preserve"> - (These are CMOs who did not violate any of the sanctions   within the year)</w:t>
      </w:r>
    </w:p>
    <w:p w:rsidR="003A4604" w:rsidRPr="00A0260D" w:rsidRDefault="003A4604" w:rsidP="003A4604">
      <w:pPr>
        <w:spacing w:after="0"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b/>
          <w:sz w:val="28"/>
          <w:szCs w:val="28"/>
        </w:rPr>
        <w:t>LARGLEY COMPLIANT</w:t>
      </w:r>
      <w:r w:rsidRPr="00A0260D">
        <w:rPr>
          <w:rFonts w:ascii="Tahoma" w:hAnsi="Tahoma" w:cs="Tahoma"/>
          <w:sz w:val="28"/>
          <w:szCs w:val="28"/>
        </w:rPr>
        <w:t xml:space="preserve"> – Those that did violate two (2) sanctions </w:t>
      </w:r>
    </w:p>
    <w:p w:rsidR="003A4604" w:rsidRDefault="003A4604" w:rsidP="003A4604">
      <w:pPr>
        <w:spacing w:after="0" w:line="360" w:lineRule="auto"/>
        <w:ind w:left="144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b/>
          <w:sz w:val="28"/>
          <w:szCs w:val="28"/>
        </w:rPr>
        <w:t>PARTIALLY COMPLIANT</w:t>
      </w:r>
      <w:r w:rsidRPr="00A0260D">
        <w:rPr>
          <w:rFonts w:ascii="Tahoma" w:hAnsi="Tahoma" w:cs="Tahoma"/>
          <w:sz w:val="28"/>
          <w:szCs w:val="28"/>
        </w:rPr>
        <w:t xml:space="preserve"> – Violated be</w:t>
      </w:r>
      <w:r>
        <w:rPr>
          <w:rFonts w:ascii="Tahoma" w:hAnsi="Tahoma" w:cs="Tahoma"/>
          <w:sz w:val="28"/>
          <w:szCs w:val="28"/>
        </w:rPr>
        <w:t>tween 2 and 5 sanctions</w:t>
      </w:r>
    </w:p>
    <w:p w:rsidR="003A4604" w:rsidRPr="00A0260D" w:rsidRDefault="003A4604" w:rsidP="003A4604">
      <w:pPr>
        <w:spacing w:after="0" w:line="360" w:lineRule="auto"/>
        <w:ind w:left="720" w:firstLine="720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b/>
          <w:sz w:val="28"/>
          <w:szCs w:val="28"/>
        </w:rPr>
        <w:t>NON COMPLIANT</w:t>
      </w:r>
      <w:r w:rsidRPr="00A0260D"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Violated more than 5 sanctions</w:t>
      </w:r>
    </w:p>
    <w:p w:rsidR="003A4604" w:rsidRDefault="003A460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p w:rsidR="009E30D4" w:rsidRPr="00A0260D" w:rsidRDefault="009E30D4" w:rsidP="003A4604">
      <w:pPr>
        <w:spacing w:after="0" w:line="360" w:lineRule="auto"/>
        <w:ind w:left="720" w:firstLine="720"/>
        <w:rPr>
          <w:rFonts w:ascii="Tahoma" w:hAnsi="Tahoma" w:cs="Tahoma"/>
          <w:sz w:val="28"/>
          <w:szCs w:val="28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A4604" w:rsidRPr="00AD34AA" w:rsidRDefault="003A4604" w:rsidP="003A4604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</w:pPr>
            <w:bookmarkStart w:id="28" w:name="_Toc503860968"/>
            <w:r w:rsidRPr="00AD34AA">
              <w:lastRenderedPageBreak/>
              <w:t>APPENDIX B:</w:t>
            </w:r>
            <w:bookmarkEnd w:id="28"/>
          </w:p>
        </w:tc>
      </w:tr>
    </w:tbl>
    <w:p w:rsidR="003A4604" w:rsidRPr="00A8203C" w:rsidRDefault="003A4604" w:rsidP="003A4604">
      <w:pPr>
        <w:rPr>
          <w:rFonts w:ascii="Tahoma" w:hAnsi="Tahoma" w:cs="Tahoma"/>
          <w:b/>
          <w:sz w:val="28"/>
          <w:szCs w:val="28"/>
        </w:rPr>
      </w:pPr>
      <w:r w:rsidRPr="00A8203C">
        <w:rPr>
          <w:rFonts w:ascii="Tahoma" w:hAnsi="Tahoma" w:cs="Tahoma"/>
          <w:b/>
          <w:sz w:val="28"/>
          <w:szCs w:val="28"/>
        </w:rPr>
        <w:t>DEFINITIONS</w:t>
      </w:r>
    </w:p>
    <w:p w:rsidR="003A4604" w:rsidRPr="00A0260D" w:rsidRDefault="003A4604" w:rsidP="003A4604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Please refer to AML Legislation as defined in the Manual for guidance.</w:t>
      </w:r>
    </w:p>
    <w:p w:rsidR="003A4604" w:rsidRPr="00A8203C" w:rsidRDefault="003A4604" w:rsidP="003A4604">
      <w:pPr>
        <w:rPr>
          <w:rFonts w:ascii="Tahoma" w:hAnsi="Tahoma" w:cs="Tahoma"/>
          <w:b/>
          <w:sz w:val="28"/>
          <w:szCs w:val="28"/>
        </w:rPr>
      </w:pPr>
      <w:r w:rsidRPr="00A8203C">
        <w:rPr>
          <w:rFonts w:ascii="Tahoma" w:hAnsi="Tahoma" w:cs="Tahoma"/>
          <w:b/>
          <w:sz w:val="28"/>
          <w:szCs w:val="28"/>
        </w:rPr>
        <w:t>Sanctions</w:t>
      </w:r>
    </w:p>
    <w:p w:rsidR="003A4604" w:rsidRPr="00A0260D" w:rsidRDefault="003A4604" w:rsidP="003A4604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 xml:space="preserve">The </w:t>
      </w:r>
      <w:r w:rsidRPr="00A0260D">
        <w:rPr>
          <w:rFonts w:ascii="Tahoma" w:eastAsia="Times New Roman" w:hAnsi="Tahoma" w:cs="Tahoma"/>
          <w:i/>
          <w:iCs/>
          <w:sz w:val="28"/>
          <w:szCs w:val="28"/>
        </w:rPr>
        <w:t xml:space="preserve">Charter of the United Nations </w:t>
      </w:r>
      <w:r w:rsidRPr="00A0260D">
        <w:rPr>
          <w:rFonts w:ascii="Tahoma" w:eastAsia="Times New Roman" w:hAnsi="Tahoma" w:cs="Tahoma"/>
          <w:sz w:val="28"/>
          <w:szCs w:val="28"/>
        </w:rPr>
        <w:t xml:space="preserve">does not expressly define ‘sanctions’, but Article 41 is generally understood as providing a definition. It refers </w:t>
      </w:r>
      <w:r>
        <w:rPr>
          <w:rFonts w:ascii="Tahoma" w:eastAsia="Times New Roman" w:hAnsi="Tahoma" w:cs="Tahoma"/>
          <w:sz w:val="28"/>
          <w:szCs w:val="28"/>
        </w:rPr>
        <w:t xml:space="preserve">to: </w:t>
      </w:r>
      <w:r w:rsidRPr="00A0260D">
        <w:rPr>
          <w:rFonts w:ascii="Tahoma" w:eastAsia="Times New Roman" w:hAnsi="Tahoma" w:cs="Tahoma"/>
          <w:sz w:val="28"/>
          <w:szCs w:val="28"/>
        </w:rPr>
        <w:t>“measures not i</w:t>
      </w:r>
      <w:r>
        <w:rPr>
          <w:rFonts w:ascii="Tahoma" w:eastAsia="Times New Roman" w:hAnsi="Tahoma" w:cs="Tahoma"/>
          <w:sz w:val="28"/>
          <w:szCs w:val="28"/>
        </w:rPr>
        <w:t xml:space="preserve">nvolving the use of armed force”, including a </w:t>
      </w:r>
      <w:r w:rsidRPr="00A0260D">
        <w:rPr>
          <w:rFonts w:ascii="Tahoma" w:eastAsia="Times New Roman" w:hAnsi="Tahoma" w:cs="Tahoma"/>
          <w:sz w:val="28"/>
          <w:szCs w:val="28"/>
        </w:rPr>
        <w:t>“complete or partial inter</w:t>
      </w:r>
      <w:r>
        <w:rPr>
          <w:rFonts w:ascii="Tahoma" w:eastAsia="Times New Roman" w:hAnsi="Tahoma" w:cs="Tahoma"/>
          <w:sz w:val="28"/>
          <w:szCs w:val="28"/>
        </w:rPr>
        <w:t>ruption of economic relations”.</w:t>
      </w:r>
    </w:p>
    <w:p w:rsidR="003A4604" w:rsidRDefault="003A4604" w:rsidP="003A4604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>Sanctions impose restrictions on activities that relate to particular countries, goods and services, or persons and entities.</w:t>
      </w:r>
    </w:p>
    <w:p w:rsidR="003A4604" w:rsidRPr="00A0260D" w:rsidRDefault="003A4604" w:rsidP="003A4604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</w:p>
    <w:p w:rsidR="003A4604" w:rsidRPr="00A8203C" w:rsidRDefault="003A4604" w:rsidP="003A4604">
      <w:pPr>
        <w:rPr>
          <w:rFonts w:ascii="Tahoma" w:hAnsi="Tahoma" w:cs="Tahoma"/>
          <w:b/>
          <w:sz w:val="28"/>
          <w:szCs w:val="28"/>
        </w:rPr>
      </w:pPr>
      <w:r w:rsidRPr="00A8203C">
        <w:rPr>
          <w:rFonts w:ascii="Tahoma" w:hAnsi="Tahoma" w:cs="Tahoma"/>
          <w:b/>
          <w:sz w:val="28"/>
          <w:szCs w:val="28"/>
        </w:rPr>
        <w:t>Basis of sanctions</w:t>
      </w:r>
    </w:p>
    <w:p w:rsidR="003A4604" w:rsidRPr="00A0260D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eastAsia="Batang" w:hAnsi="Tahoma" w:cs="Tahoma"/>
          <w:sz w:val="28"/>
          <w:szCs w:val="28"/>
        </w:rPr>
        <w:t>The sanction regime is being implemented by the Securities and Exchange Commission, Ghana (SEC) and Financial Intelligence Centre(FIC) drawing from its powers as provided by Sections 39 (5) &amp; (6) of the Anti-Money Laundering Act 2008 (Act 749) as amended by Anti-Money Laundering (Amendment) Act, 2014 (Act 874) and Section 138 of the Securities Industry Act, 2016 (Act 929)</w:t>
      </w:r>
      <w:r>
        <w:rPr>
          <w:rFonts w:ascii="Tahoma" w:eastAsia="Batang" w:hAnsi="Tahoma" w:cs="Tahoma"/>
          <w:sz w:val="28"/>
          <w:szCs w:val="28"/>
        </w:rPr>
        <w:t>.</w:t>
      </w:r>
    </w:p>
    <w:p w:rsidR="003A4604" w:rsidRDefault="003A4604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A0260D">
        <w:rPr>
          <w:rFonts w:ascii="Tahoma" w:hAnsi="Tahoma" w:cs="Tahoma"/>
          <w:sz w:val="28"/>
          <w:szCs w:val="28"/>
        </w:rPr>
        <w:t>In addition Part C, section 29 of the AML/CFT Compliance Manual gives room for sanctions to be imposed for non-compliance of AML/CFT laws.</w:t>
      </w:r>
    </w:p>
    <w:p w:rsidR="00F82D85" w:rsidRPr="00EE7E72" w:rsidRDefault="00F82D85" w:rsidP="003A4604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3A4604" w:rsidRPr="00A8203C" w:rsidRDefault="003A4604" w:rsidP="003A4604">
      <w:pPr>
        <w:rPr>
          <w:rFonts w:ascii="Tahoma" w:hAnsi="Tahoma" w:cs="Tahoma"/>
          <w:b/>
          <w:sz w:val="28"/>
          <w:szCs w:val="28"/>
        </w:rPr>
      </w:pPr>
      <w:r w:rsidRPr="00A8203C">
        <w:rPr>
          <w:rFonts w:ascii="Tahoma" w:hAnsi="Tahoma" w:cs="Tahoma"/>
          <w:b/>
          <w:sz w:val="28"/>
          <w:szCs w:val="28"/>
        </w:rPr>
        <w:t>Types of sanctions regimes</w:t>
      </w:r>
    </w:p>
    <w:p w:rsidR="003A4604" w:rsidRPr="00A0260D" w:rsidRDefault="003A4604" w:rsidP="003A4604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>Ghana implements United Nations Security Council (UNSC) sanctions regimes and its own autonomous sanctions regimes.</w:t>
      </w:r>
    </w:p>
    <w:p w:rsidR="003A4604" w:rsidRPr="00A0260D" w:rsidRDefault="003A4604" w:rsidP="003A4604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lastRenderedPageBreak/>
        <w:t xml:space="preserve">Ghana is obliged to implement UNSC sanctions regimes as </w:t>
      </w:r>
      <w:r>
        <w:rPr>
          <w:rFonts w:ascii="Tahoma" w:eastAsia="Times New Roman" w:hAnsi="Tahoma" w:cs="Tahoma"/>
          <w:sz w:val="28"/>
          <w:szCs w:val="28"/>
        </w:rPr>
        <w:t xml:space="preserve">a matter of international law. 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4604" w:rsidRPr="00A0260D" w:rsidTr="00F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A4604" w:rsidRPr="00AD34AA" w:rsidRDefault="003A4604" w:rsidP="003A4604">
            <w:pPr>
              <w:pStyle w:val="Heading1"/>
              <w:numPr>
                <w:ilvl w:val="0"/>
                <w:numId w:val="0"/>
              </w:numPr>
              <w:outlineLvl w:val="0"/>
            </w:pPr>
            <w:bookmarkStart w:id="29" w:name="_Toc503860969"/>
            <w:r w:rsidRPr="003A4604">
              <w:t>APPENDIX</w:t>
            </w:r>
            <w:r w:rsidRPr="00AD34AA">
              <w:t xml:space="preserve"> C:</w:t>
            </w:r>
            <w:bookmarkEnd w:id="29"/>
          </w:p>
        </w:tc>
      </w:tr>
    </w:tbl>
    <w:p w:rsidR="003A4604" w:rsidRPr="00A0260D" w:rsidRDefault="003A4604" w:rsidP="003A4604">
      <w:p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>The following in the FIs would be equally responsible for any sanctions violated;</w:t>
      </w:r>
    </w:p>
    <w:p w:rsidR="003A4604" w:rsidRPr="00A0260D" w:rsidRDefault="003A4604" w:rsidP="003A4604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>BOARD</w:t>
      </w:r>
    </w:p>
    <w:p w:rsidR="003A4604" w:rsidRPr="00A0260D" w:rsidRDefault="003A4604" w:rsidP="003A4604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>SENIOR MANAGEMENT</w:t>
      </w:r>
    </w:p>
    <w:p w:rsidR="003A4604" w:rsidRPr="00A0260D" w:rsidRDefault="003A4604" w:rsidP="003A4604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>AMLRO</w:t>
      </w:r>
    </w:p>
    <w:p w:rsidR="003A4604" w:rsidRPr="00A0260D" w:rsidRDefault="003A4604" w:rsidP="003A4604">
      <w:pPr>
        <w:pStyle w:val="ListParagraph"/>
        <w:numPr>
          <w:ilvl w:val="0"/>
          <w:numId w:val="5"/>
        </w:numPr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A0260D">
        <w:rPr>
          <w:rFonts w:ascii="Tahoma" w:eastAsia="Times New Roman" w:hAnsi="Tahoma" w:cs="Tahoma"/>
          <w:sz w:val="28"/>
          <w:szCs w:val="28"/>
        </w:rPr>
        <w:t>STAFF</w:t>
      </w:r>
    </w:p>
    <w:p w:rsidR="00F82D85" w:rsidRDefault="00F82D85"/>
    <w:sectPr w:rsidR="00F82D85" w:rsidSect="00F82D85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21" w:rsidRDefault="000F7621">
      <w:pPr>
        <w:spacing w:after="0" w:line="240" w:lineRule="auto"/>
      </w:pPr>
      <w:r>
        <w:separator/>
      </w:r>
    </w:p>
  </w:endnote>
  <w:endnote w:type="continuationSeparator" w:id="0">
    <w:p w:rsidR="000F7621" w:rsidRDefault="000F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1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444" w:rsidRDefault="00BA3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8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A3444" w:rsidRDefault="00BA3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21" w:rsidRDefault="000F7621">
      <w:pPr>
        <w:spacing w:after="0" w:line="240" w:lineRule="auto"/>
      </w:pPr>
      <w:r>
        <w:separator/>
      </w:r>
    </w:p>
  </w:footnote>
  <w:footnote w:type="continuationSeparator" w:id="0">
    <w:p w:rsidR="000F7621" w:rsidRDefault="000F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BA0"/>
    <w:multiLevelType w:val="multilevel"/>
    <w:tmpl w:val="087A90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1">
    <w:nsid w:val="19C14569"/>
    <w:multiLevelType w:val="hybridMultilevel"/>
    <w:tmpl w:val="F9888F14"/>
    <w:lvl w:ilvl="0" w:tplc="8B384F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622"/>
    <w:multiLevelType w:val="hybridMultilevel"/>
    <w:tmpl w:val="40BE3A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616"/>
    <w:multiLevelType w:val="hybridMultilevel"/>
    <w:tmpl w:val="514890C2"/>
    <w:lvl w:ilvl="0" w:tplc="F0D6FA9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B4912"/>
    <w:multiLevelType w:val="hybridMultilevel"/>
    <w:tmpl w:val="143A7C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CBC607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69B87CF1"/>
    <w:multiLevelType w:val="hybridMultilevel"/>
    <w:tmpl w:val="9B2EACF2"/>
    <w:lvl w:ilvl="0" w:tplc="46E06A7E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794346F"/>
    <w:multiLevelType w:val="hybridMultilevel"/>
    <w:tmpl w:val="5D82BA3E"/>
    <w:lvl w:ilvl="0" w:tplc="58205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7A30"/>
    <w:multiLevelType w:val="hybridMultilevel"/>
    <w:tmpl w:val="5FC69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4"/>
    <w:rsid w:val="000B46E5"/>
    <w:rsid w:val="000D0B86"/>
    <w:rsid w:val="000F7621"/>
    <w:rsid w:val="00114EED"/>
    <w:rsid w:val="00185C56"/>
    <w:rsid w:val="003A4604"/>
    <w:rsid w:val="004168AB"/>
    <w:rsid w:val="004307CD"/>
    <w:rsid w:val="0046149F"/>
    <w:rsid w:val="0046405F"/>
    <w:rsid w:val="00597FEB"/>
    <w:rsid w:val="00643098"/>
    <w:rsid w:val="006800E2"/>
    <w:rsid w:val="006B0F10"/>
    <w:rsid w:val="0070532A"/>
    <w:rsid w:val="007E6A47"/>
    <w:rsid w:val="00801970"/>
    <w:rsid w:val="00892865"/>
    <w:rsid w:val="008D5C86"/>
    <w:rsid w:val="009E30D4"/>
    <w:rsid w:val="00A31C22"/>
    <w:rsid w:val="00AA542D"/>
    <w:rsid w:val="00BA3444"/>
    <w:rsid w:val="00C21B97"/>
    <w:rsid w:val="00C4137E"/>
    <w:rsid w:val="00C735EA"/>
    <w:rsid w:val="00D0393B"/>
    <w:rsid w:val="00D90086"/>
    <w:rsid w:val="00D942FA"/>
    <w:rsid w:val="00E506FE"/>
    <w:rsid w:val="00E91B8F"/>
    <w:rsid w:val="00EE7E72"/>
    <w:rsid w:val="00F82D85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04"/>
  </w:style>
  <w:style w:type="paragraph" w:styleId="Heading1">
    <w:name w:val="heading 1"/>
    <w:basedOn w:val="Normal"/>
    <w:next w:val="Normal"/>
    <w:link w:val="Heading1Char"/>
    <w:uiPriority w:val="9"/>
    <w:qFormat/>
    <w:rsid w:val="003A46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46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46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460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A460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460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3A460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460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46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6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6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46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46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A46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A460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A46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46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4604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1"/>
    <w:qFormat/>
    <w:rsid w:val="003A460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3A4604"/>
    <w:rPr>
      <w:rFonts w:ascii="Calibri" w:eastAsia="MS Mincho" w:hAnsi="Calibri" w:cs="Times New Roman"/>
      <w:lang w:eastAsia="ja-JP"/>
    </w:rPr>
  </w:style>
  <w:style w:type="table" w:styleId="MediumShading1-Accent5">
    <w:name w:val="Medium Shading 1 Accent 5"/>
    <w:basedOn w:val="TableNormal"/>
    <w:uiPriority w:val="63"/>
    <w:rsid w:val="003A46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4604"/>
    <w:pPr>
      <w:ind w:left="720"/>
    </w:pPr>
    <w:rPr>
      <w:rFonts w:ascii="Calibri" w:eastAsia="Calibri" w:hAnsi="Calibri" w:cs="Times New Roman"/>
    </w:rPr>
  </w:style>
  <w:style w:type="table" w:styleId="MediumGrid1-Accent5">
    <w:name w:val="Medium Grid 1 Accent 5"/>
    <w:basedOn w:val="TableNormal"/>
    <w:uiPriority w:val="67"/>
    <w:rsid w:val="003A46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3A46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3A46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A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0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60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6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460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A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04"/>
  </w:style>
  <w:style w:type="paragraph" w:styleId="Heading1">
    <w:name w:val="heading 1"/>
    <w:basedOn w:val="Normal"/>
    <w:next w:val="Normal"/>
    <w:link w:val="Heading1Char"/>
    <w:uiPriority w:val="9"/>
    <w:qFormat/>
    <w:rsid w:val="003A46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46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46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460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A460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460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3A460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460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46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6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6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46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46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A46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A460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A46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46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4604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1"/>
    <w:qFormat/>
    <w:rsid w:val="003A4604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3A4604"/>
    <w:rPr>
      <w:rFonts w:ascii="Calibri" w:eastAsia="MS Mincho" w:hAnsi="Calibri" w:cs="Times New Roman"/>
      <w:lang w:eastAsia="ja-JP"/>
    </w:rPr>
  </w:style>
  <w:style w:type="table" w:styleId="MediumShading1-Accent5">
    <w:name w:val="Medium Shading 1 Accent 5"/>
    <w:basedOn w:val="TableNormal"/>
    <w:uiPriority w:val="63"/>
    <w:rsid w:val="003A46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4604"/>
    <w:pPr>
      <w:ind w:left="720"/>
    </w:pPr>
    <w:rPr>
      <w:rFonts w:ascii="Calibri" w:eastAsia="Calibri" w:hAnsi="Calibri" w:cs="Times New Roman"/>
    </w:rPr>
  </w:style>
  <w:style w:type="table" w:styleId="MediumGrid1-Accent5">
    <w:name w:val="Medium Grid 1 Accent 5"/>
    <w:basedOn w:val="TableNormal"/>
    <w:uiPriority w:val="67"/>
    <w:rsid w:val="003A46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3A46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3A46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A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0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60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46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460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A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sappiah\Downloads\SANCTIONS%2011TH%20JAN,%202018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F6E9-70E8-41E5-AD40-0797A084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Service Personnel</dc:creator>
  <cp:lastModifiedBy>Emmanuel Sakyi-Appiah</cp:lastModifiedBy>
  <cp:revision>2</cp:revision>
  <cp:lastPrinted>2018-01-11T13:58:00Z</cp:lastPrinted>
  <dcterms:created xsi:type="dcterms:W3CDTF">2018-01-16T11:03:00Z</dcterms:created>
  <dcterms:modified xsi:type="dcterms:W3CDTF">2018-01-16T11:03:00Z</dcterms:modified>
</cp:coreProperties>
</file>